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A3BD2" w14:textId="77777777" w:rsidR="00CB53DE" w:rsidRPr="00D52650" w:rsidRDefault="00CB53DE" w:rsidP="00CB53DE">
      <w:pPr>
        <w:ind w:left="567" w:hanging="567"/>
        <w:jc w:val="center"/>
        <w:rPr>
          <w:b/>
          <w:caps/>
          <w:color w:val="000000"/>
          <w:sz w:val="22"/>
          <w:szCs w:val="22"/>
          <w:lang w:val="cs-CZ"/>
        </w:rPr>
      </w:pPr>
    </w:p>
    <w:p w14:paraId="7C95D4D5" w14:textId="77777777" w:rsidR="00CB53DE" w:rsidRPr="00D52650" w:rsidRDefault="00CB53DE" w:rsidP="00CB53DE">
      <w:pPr>
        <w:ind w:left="567" w:hanging="567"/>
        <w:jc w:val="center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SOUHRN ÚDAJŮ O PŘÍPRAVKU</w:t>
      </w:r>
    </w:p>
    <w:p w14:paraId="1B12DEA6" w14:textId="77777777" w:rsidR="00CB53DE" w:rsidRPr="00D52650" w:rsidRDefault="00CB53DE" w:rsidP="00CB53DE">
      <w:pPr>
        <w:pStyle w:val="Nadpis1"/>
        <w:jc w:val="center"/>
        <w:rPr>
          <w:color w:val="000000"/>
          <w:sz w:val="22"/>
          <w:szCs w:val="22"/>
          <w:lang w:val="cs-CZ"/>
        </w:rPr>
      </w:pPr>
    </w:p>
    <w:p w14:paraId="3DF4561B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61980E71" w14:textId="77777777" w:rsidR="00CB53DE" w:rsidRPr="00D52650" w:rsidRDefault="00CB53DE" w:rsidP="00CB53DE">
      <w:pPr>
        <w:ind w:left="360" w:hanging="360"/>
        <w:jc w:val="both"/>
        <w:rPr>
          <w:b/>
          <w:caps/>
          <w:sz w:val="22"/>
          <w:szCs w:val="22"/>
          <w:lang w:val="cs-CZ"/>
        </w:rPr>
      </w:pPr>
      <w:r w:rsidRPr="00D52650">
        <w:rPr>
          <w:b/>
          <w:caps/>
          <w:sz w:val="22"/>
          <w:szCs w:val="22"/>
          <w:lang w:val="cs-CZ"/>
        </w:rPr>
        <w:t>1.</w:t>
      </w:r>
      <w:r w:rsidRPr="00D52650">
        <w:rPr>
          <w:b/>
          <w:caps/>
          <w:sz w:val="22"/>
          <w:szCs w:val="22"/>
          <w:lang w:val="cs-CZ"/>
        </w:rPr>
        <w:tab/>
        <w:t>NÁZEV PŘÍPRAVKU</w:t>
      </w:r>
    </w:p>
    <w:p w14:paraId="216EED94" w14:textId="77777777" w:rsidR="00CB53DE" w:rsidRPr="00D52650" w:rsidRDefault="00CB53DE" w:rsidP="00CB53DE">
      <w:pPr>
        <w:jc w:val="both"/>
        <w:rPr>
          <w:b/>
          <w:color w:val="000000"/>
          <w:sz w:val="22"/>
          <w:szCs w:val="22"/>
          <w:lang w:val="cs-CZ"/>
        </w:rPr>
      </w:pPr>
    </w:p>
    <w:p w14:paraId="379D0927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proofErr w:type="spellStart"/>
      <w:r w:rsidRPr="00D52650">
        <w:rPr>
          <w:sz w:val="22"/>
          <w:szCs w:val="22"/>
          <w:lang w:val="cs-CZ"/>
        </w:rPr>
        <w:t>Fludeoxyglucose</w:t>
      </w:r>
      <w:proofErr w:type="spellEnd"/>
      <w:r w:rsidRPr="00D52650">
        <w:rPr>
          <w:sz w:val="22"/>
          <w:szCs w:val="22"/>
          <w:lang w:val="cs-CZ"/>
        </w:rPr>
        <w:t xml:space="preserve"> (</w:t>
      </w:r>
      <w:proofErr w:type="gramStart"/>
      <w:r w:rsidRPr="00301710">
        <w:rPr>
          <w:color w:val="000000"/>
          <w:sz w:val="22"/>
          <w:szCs w:val="22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sz w:val="22"/>
          <w:szCs w:val="22"/>
          <w:lang w:val="cs-CZ"/>
        </w:rPr>
        <w:t xml:space="preserve">) Biont 200-2200 </w:t>
      </w:r>
      <w:proofErr w:type="spellStart"/>
      <w:r w:rsidRPr="00D52650">
        <w:rPr>
          <w:sz w:val="22"/>
          <w:szCs w:val="22"/>
          <w:lang w:val="cs-CZ"/>
        </w:rPr>
        <w:t>MBq</w:t>
      </w:r>
      <w:proofErr w:type="spellEnd"/>
      <w:r w:rsidRPr="00D52650">
        <w:rPr>
          <w:sz w:val="22"/>
          <w:szCs w:val="22"/>
          <w:lang w:val="cs-CZ"/>
        </w:rPr>
        <w:t>/ml injekční roztok</w:t>
      </w:r>
    </w:p>
    <w:p w14:paraId="1E74F476" w14:textId="77777777" w:rsidR="00CB53DE" w:rsidRPr="00D52650" w:rsidRDefault="00CB53DE" w:rsidP="00CB53DE">
      <w:pPr>
        <w:pStyle w:val="Nadpis1"/>
        <w:jc w:val="both"/>
        <w:rPr>
          <w:color w:val="000000"/>
          <w:sz w:val="22"/>
          <w:szCs w:val="22"/>
          <w:highlight w:val="yellow"/>
          <w:lang w:val="cs-CZ"/>
        </w:rPr>
      </w:pPr>
    </w:p>
    <w:p w14:paraId="07D31DCD" w14:textId="77777777" w:rsidR="00CB53DE" w:rsidRPr="00D52650" w:rsidRDefault="00CB53DE" w:rsidP="00CB53DE">
      <w:pPr>
        <w:rPr>
          <w:sz w:val="22"/>
          <w:szCs w:val="22"/>
          <w:highlight w:val="yellow"/>
          <w:lang w:val="cs-CZ"/>
        </w:rPr>
      </w:pPr>
    </w:p>
    <w:p w14:paraId="492AE729" w14:textId="77777777" w:rsidR="00CB53DE" w:rsidRPr="00D52650" w:rsidRDefault="00CB53DE" w:rsidP="00CB53DE">
      <w:pPr>
        <w:ind w:left="360" w:hanging="360"/>
        <w:jc w:val="both"/>
        <w:rPr>
          <w:b/>
          <w:caps/>
          <w:sz w:val="22"/>
          <w:szCs w:val="22"/>
          <w:lang w:val="cs-CZ"/>
        </w:rPr>
      </w:pPr>
      <w:r w:rsidRPr="00D52650">
        <w:rPr>
          <w:b/>
          <w:caps/>
          <w:sz w:val="22"/>
          <w:szCs w:val="22"/>
          <w:lang w:val="cs-CZ"/>
        </w:rPr>
        <w:t>2.</w:t>
      </w:r>
      <w:r w:rsidRPr="00D52650">
        <w:rPr>
          <w:b/>
          <w:caps/>
          <w:sz w:val="22"/>
          <w:szCs w:val="22"/>
          <w:lang w:val="cs-CZ"/>
        </w:rPr>
        <w:tab/>
        <w:t>KVALITATIVNÍ A KVANTITATIVNÍ SLOŽENÍ</w:t>
      </w:r>
    </w:p>
    <w:p w14:paraId="0DF2F7C0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3D172AC9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 xml:space="preserve">1 ml obsahuje </w:t>
      </w:r>
      <w:proofErr w:type="gramStart"/>
      <w:r w:rsidRPr="00D52650">
        <w:rPr>
          <w:sz w:val="22"/>
          <w:szCs w:val="22"/>
          <w:lang w:val="cs-CZ"/>
        </w:rPr>
        <w:t>200 - 2200</w:t>
      </w:r>
      <w:proofErr w:type="gramEnd"/>
      <w:r w:rsidRPr="00D52650">
        <w:rPr>
          <w:sz w:val="22"/>
          <w:szCs w:val="22"/>
          <w:lang w:val="cs-CZ"/>
        </w:rPr>
        <w:t xml:space="preserve"> </w:t>
      </w:r>
      <w:proofErr w:type="spellStart"/>
      <w:r w:rsidRPr="00D52650">
        <w:rPr>
          <w:sz w:val="22"/>
          <w:szCs w:val="22"/>
          <w:lang w:val="cs-CZ"/>
        </w:rPr>
        <w:t>MBq</w:t>
      </w:r>
      <w:proofErr w:type="spellEnd"/>
      <w:r w:rsidRPr="00D52650">
        <w:rPr>
          <w:sz w:val="22"/>
          <w:szCs w:val="22"/>
          <w:lang w:val="cs-CZ"/>
        </w:rPr>
        <w:t xml:space="preserve"> </w:t>
      </w:r>
      <w:proofErr w:type="spellStart"/>
      <w:r w:rsidRPr="00D52650">
        <w:rPr>
          <w:sz w:val="22"/>
          <w:szCs w:val="22"/>
          <w:lang w:val="cs-CZ"/>
        </w:rPr>
        <w:t>fludeoxyglucosum</w:t>
      </w:r>
      <w:proofErr w:type="spellEnd"/>
      <w:r w:rsidRPr="00D52650">
        <w:rPr>
          <w:sz w:val="22"/>
          <w:szCs w:val="22"/>
          <w:lang w:val="cs-CZ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/>
        </w:rPr>
        <w:t>18</w:t>
      </w:r>
      <w:r w:rsidRPr="00D52650">
        <w:rPr>
          <w:sz w:val="22"/>
          <w:szCs w:val="22"/>
          <w:lang w:val="cs-CZ"/>
        </w:rPr>
        <w:t>F</w:t>
      </w:r>
      <w:proofErr w:type="gramEnd"/>
      <w:r w:rsidRPr="00D52650">
        <w:rPr>
          <w:sz w:val="22"/>
          <w:szCs w:val="22"/>
          <w:lang w:val="cs-CZ"/>
        </w:rPr>
        <w:t xml:space="preserve">) k datu a času kalibrace </w:t>
      </w:r>
    </w:p>
    <w:p w14:paraId="3CD1370A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(t</w:t>
      </w:r>
      <w:r w:rsidRPr="00D52650">
        <w:rPr>
          <w:sz w:val="22"/>
          <w:szCs w:val="22"/>
          <w:vertAlign w:val="subscript"/>
          <w:lang w:val="cs-CZ"/>
        </w:rPr>
        <w:t>0</w:t>
      </w:r>
      <w:r w:rsidRPr="00D52650">
        <w:rPr>
          <w:sz w:val="22"/>
          <w:szCs w:val="22"/>
          <w:lang w:val="cs-CZ"/>
        </w:rPr>
        <w:t xml:space="preserve"> + 4 h). Aktivita na injekční lahvičku se pohybuje od 40 </w:t>
      </w:r>
      <w:proofErr w:type="spellStart"/>
      <w:r w:rsidRPr="00D52650">
        <w:rPr>
          <w:sz w:val="22"/>
          <w:szCs w:val="22"/>
          <w:lang w:val="cs-CZ"/>
        </w:rPr>
        <w:t>MBq</w:t>
      </w:r>
      <w:proofErr w:type="spellEnd"/>
      <w:r w:rsidRPr="00D52650">
        <w:rPr>
          <w:sz w:val="22"/>
          <w:szCs w:val="22"/>
          <w:lang w:val="cs-CZ"/>
        </w:rPr>
        <w:t xml:space="preserve"> do 22000 </w:t>
      </w:r>
      <w:proofErr w:type="spellStart"/>
      <w:r w:rsidRPr="00D52650">
        <w:rPr>
          <w:sz w:val="22"/>
          <w:szCs w:val="22"/>
          <w:lang w:val="cs-CZ"/>
        </w:rPr>
        <w:t>MBq</w:t>
      </w:r>
      <w:proofErr w:type="spellEnd"/>
      <w:r w:rsidRPr="00D52650">
        <w:rPr>
          <w:sz w:val="22"/>
          <w:szCs w:val="22"/>
          <w:lang w:val="cs-CZ"/>
        </w:rPr>
        <w:t xml:space="preserve"> k datu a času kalibrace (t</w:t>
      </w:r>
      <w:r w:rsidRPr="00D52650">
        <w:rPr>
          <w:sz w:val="22"/>
          <w:szCs w:val="22"/>
          <w:vertAlign w:val="subscript"/>
          <w:lang w:val="cs-CZ"/>
        </w:rPr>
        <w:t>0</w:t>
      </w:r>
      <w:r w:rsidRPr="00D52650">
        <w:rPr>
          <w:sz w:val="22"/>
          <w:szCs w:val="22"/>
          <w:lang w:val="cs-CZ"/>
        </w:rPr>
        <w:t xml:space="preserve"> + 4 h), což představuje 182 </w:t>
      </w:r>
      <w:proofErr w:type="spellStart"/>
      <w:r w:rsidRPr="00D52650">
        <w:rPr>
          <w:sz w:val="22"/>
          <w:szCs w:val="22"/>
          <w:lang w:val="cs-CZ"/>
        </w:rPr>
        <w:t>MBq</w:t>
      </w:r>
      <w:proofErr w:type="spellEnd"/>
      <w:r w:rsidRPr="00D52650">
        <w:rPr>
          <w:sz w:val="22"/>
          <w:szCs w:val="22"/>
          <w:lang w:val="cs-CZ"/>
        </w:rPr>
        <w:t xml:space="preserve"> až 100095 </w:t>
      </w:r>
      <w:proofErr w:type="spellStart"/>
      <w:r w:rsidRPr="00D52650">
        <w:rPr>
          <w:sz w:val="22"/>
          <w:szCs w:val="22"/>
          <w:lang w:val="cs-CZ"/>
        </w:rPr>
        <w:t>MBq</w:t>
      </w:r>
      <w:proofErr w:type="spellEnd"/>
      <w:r w:rsidRPr="00D52650">
        <w:rPr>
          <w:sz w:val="22"/>
          <w:szCs w:val="22"/>
          <w:lang w:val="cs-CZ"/>
        </w:rPr>
        <w:t xml:space="preserve"> na konci syntézy (t</w:t>
      </w:r>
      <w:r w:rsidRPr="00D52650">
        <w:rPr>
          <w:sz w:val="22"/>
          <w:szCs w:val="22"/>
          <w:vertAlign w:val="subscript"/>
          <w:lang w:val="cs-CZ"/>
        </w:rPr>
        <w:t>0</w:t>
      </w:r>
      <w:r w:rsidRPr="00D52650">
        <w:rPr>
          <w:sz w:val="22"/>
          <w:szCs w:val="22"/>
          <w:lang w:val="cs-CZ"/>
        </w:rPr>
        <w:t>).</w:t>
      </w:r>
    </w:p>
    <w:p w14:paraId="41394231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Radionuklid fluor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se rozpadá na stabilní kyslík (</w:t>
      </w:r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 xml:space="preserve">O) s poločasem 110 minut s vyzařováním pozitronového záření o maximální energii 634 </w:t>
      </w:r>
      <w:proofErr w:type="spellStart"/>
      <w:r w:rsidRPr="00D52650">
        <w:rPr>
          <w:color w:val="000000"/>
          <w:sz w:val="22"/>
          <w:szCs w:val="22"/>
          <w:lang w:val="cs-CZ"/>
        </w:rPr>
        <w:t>keV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s následnou fotonovou anihilací s energií 511 </w:t>
      </w:r>
      <w:proofErr w:type="spellStart"/>
      <w:r w:rsidRPr="00D52650">
        <w:rPr>
          <w:color w:val="000000"/>
          <w:sz w:val="22"/>
          <w:szCs w:val="22"/>
          <w:lang w:val="cs-CZ"/>
        </w:rPr>
        <w:t>keV</w:t>
      </w:r>
      <w:proofErr w:type="spellEnd"/>
      <w:r w:rsidRPr="00D52650">
        <w:rPr>
          <w:color w:val="000000"/>
          <w:sz w:val="22"/>
          <w:szCs w:val="22"/>
          <w:lang w:val="cs-CZ"/>
        </w:rPr>
        <w:t>.</w:t>
      </w:r>
    </w:p>
    <w:p w14:paraId="4CAD172F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</w:p>
    <w:p w14:paraId="275F478F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Pomocné látky se známým účinkem:</w:t>
      </w:r>
    </w:p>
    <w:p w14:paraId="0D48F87E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Chlorid sodný 9 mg/l</w:t>
      </w:r>
    </w:p>
    <w:p w14:paraId="4371AE73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Etanol 0.</w:t>
      </w:r>
      <w:proofErr w:type="gramStart"/>
      <w:r w:rsidRPr="00D52650">
        <w:rPr>
          <w:color w:val="000000"/>
          <w:sz w:val="22"/>
          <w:szCs w:val="22"/>
          <w:lang w:val="cs-CZ"/>
        </w:rPr>
        <w:t>2%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 v/v</w:t>
      </w:r>
    </w:p>
    <w:p w14:paraId="7B3E3FD9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Úplný seznam pomocných látek viz. bod 6.1.</w:t>
      </w:r>
    </w:p>
    <w:p w14:paraId="1E247260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</w:p>
    <w:p w14:paraId="7744A12B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</w:p>
    <w:p w14:paraId="1EE7D5BA" w14:textId="77777777" w:rsidR="00CB53DE" w:rsidRPr="00D52650" w:rsidRDefault="00CB53DE" w:rsidP="00CB53DE">
      <w:pPr>
        <w:ind w:left="360" w:hanging="360"/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3.</w:t>
      </w:r>
      <w:r w:rsidRPr="00D52650">
        <w:rPr>
          <w:b/>
          <w:caps/>
          <w:color w:val="000000"/>
          <w:sz w:val="22"/>
          <w:szCs w:val="22"/>
          <w:lang w:val="cs-CZ"/>
        </w:rPr>
        <w:tab/>
        <w:t>LÉKOVÁ FORMA</w:t>
      </w:r>
    </w:p>
    <w:p w14:paraId="3EFEF1A6" w14:textId="77777777" w:rsidR="00CB53DE" w:rsidRPr="00D52650" w:rsidRDefault="00CB53DE" w:rsidP="00CB53DE">
      <w:pPr>
        <w:tabs>
          <w:tab w:val="left" w:pos="720"/>
        </w:tabs>
        <w:jc w:val="both"/>
        <w:rPr>
          <w:b/>
          <w:color w:val="000000"/>
          <w:sz w:val="22"/>
          <w:szCs w:val="22"/>
          <w:lang w:val="cs-CZ"/>
        </w:rPr>
      </w:pPr>
    </w:p>
    <w:p w14:paraId="5589462B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Injekční roztok</w:t>
      </w:r>
    </w:p>
    <w:p w14:paraId="0E55C9CC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Čirý, bezbarvý nebo mírně žlutý roztok</w:t>
      </w:r>
    </w:p>
    <w:p w14:paraId="0C2B5959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pH: 4,5 – 8,5</w:t>
      </w:r>
    </w:p>
    <w:p w14:paraId="760F74AF" w14:textId="77777777" w:rsidR="00CB53DE" w:rsidRPr="00D52650" w:rsidRDefault="00CB53DE" w:rsidP="00CB53DE">
      <w:pPr>
        <w:tabs>
          <w:tab w:val="left" w:pos="720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Osmolalita: </w:t>
      </w:r>
      <w:r w:rsidRPr="00D52650">
        <w:rPr>
          <w:sz w:val="22"/>
          <w:szCs w:val="22"/>
          <w:lang w:val="cs-CZ"/>
        </w:rPr>
        <w:t xml:space="preserve">300 ± 50 </w:t>
      </w:r>
      <w:proofErr w:type="spellStart"/>
      <w:r w:rsidRPr="00D52650">
        <w:rPr>
          <w:sz w:val="22"/>
          <w:szCs w:val="22"/>
          <w:lang w:val="cs-CZ"/>
        </w:rPr>
        <w:t>mOsmol</w:t>
      </w:r>
      <w:proofErr w:type="spellEnd"/>
      <w:r w:rsidRPr="00D52650">
        <w:rPr>
          <w:sz w:val="22"/>
          <w:szCs w:val="22"/>
          <w:lang w:val="cs-CZ"/>
        </w:rPr>
        <w:t>/kg</w:t>
      </w:r>
    </w:p>
    <w:p w14:paraId="49FC571C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70A6989F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423A0898" w14:textId="77777777" w:rsidR="00CB53DE" w:rsidRPr="00D52650" w:rsidRDefault="00CB53DE" w:rsidP="00CB53DE">
      <w:pPr>
        <w:ind w:left="360" w:hanging="360"/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4.</w:t>
      </w:r>
      <w:r w:rsidRPr="00D52650">
        <w:rPr>
          <w:b/>
          <w:caps/>
          <w:color w:val="000000"/>
          <w:sz w:val="22"/>
          <w:szCs w:val="22"/>
          <w:lang w:val="cs-CZ"/>
        </w:rPr>
        <w:tab/>
        <w:t>KLINICKÉ ÚDAJE</w:t>
      </w:r>
    </w:p>
    <w:p w14:paraId="47687A5F" w14:textId="77777777" w:rsidR="00CB53DE" w:rsidRPr="00D52650" w:rsidRDefault="00CB53DE" w:rsidP="00CB53DE">
      <w:pPr>
        <w:ind w:firstLine="540"/>
        <w:jc w:val="both"/>
        <w:rPr>
          <w:color w:val="000000"/>
          <w:sz w:val="22"/>
          <w:szCs w:val="22"/>
          <w:lang w:val="cs-CZ"/>
        </w:rPr>
      </w:pPr>
    </w:p>
    <w:p w14:paraId="0E2B6F79" w14:textId="77777777" w:rsidR="00CB53DE" w:rsidRPr="00D52650" w:rsidRDefault="00CB53DE" w:rsidP="00CB53DE">
      <w:pPr>
        <w:numPr>
          <w:ilvl w:val="1"/>
          <w:numId w:val="4"/>
        </w:numPr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Terapeutické indikace</w:t>
      </w:r>
    </w:p>
    <w:p w14:paraId="33602A15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</w:p>
    <w:p w14:paraId="0B3B3928" w14:textId="77777777" w:rsidR="00CB53DE" w:rsidRPr="00D52650" w:rsidRDefault="00CB53DE" w:rsidP="00CB53DE">
      <w:pPr>
        <w:pStyle w:val="Zkladntext"/>
        <w:spacing w:before="120"/>
        <w:rPr>
          <w:b w:val="0"/>
          <w:color w:val="000000"/>
          <w:sz w:val="22"/>
          <w:szCs w:val="22"/>
          <w:lang w:val="cs-CZ"/>
        </w:rPr>
      </w:pPr>
      <w:r w:rsidRPr="00D52650">
        <w:rPr>
          <w:b w:val="0"/>
          <w:color w:val="000000"/>
          <w:sz w:val="22"/>
          <w:szCs w:val="22"/>
          <w:lang w:val="cs-CZ"/>
        </w:rPr>
        <w:t>Tento přípravek je určený pouze pro diagnostické účely.</w:t>
      </w:r>
    </w:p>
    <w:p w14:paraId="7A0C589E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46B0A23B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proofErr w:type="spellStart"/>
      <w:r w:rsidRPr="00D52650">
        <w:rPr>
          <w:color w:val="000000"/>
          <w:sz w:val="22"/>
          <w:szCs w:val="22"/>
          <w:lang w:val="cs-CZ"/>
        </w:rPr>
        <w:t>Fludeoxyglukóza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je indikována k použití u pozitronové emisní tomografie (PET).</w:t>
      </w:r>
    </w:p>
    <w:p w14:paraId="014C7C97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6E546772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Onkologie</w:t>
      </w:r>
    </w:p>
    <w:p w14:paraId="37118244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Při zobrazování u pacientů podstupujících onkologické diagnostické procedury popisující funkce nebo onemocnění, u kterých je diagnostickým cílem zvýšený vstup glukózy do specifických orgánů nebo tkání. Následující indikace jsou dostatečně zdokumentovány (viz také bod 4.4):</w:t>
      </w:r>
    </w:p>
    <w:p w14:paraId="35BF47D7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u w:val="single"/>
          <w:lang w:val="cs-CZ"/>
        </w:rPr>
      </w:pPr>
    </w:p>
    <w:p w14:paraId="0633D47B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Diagnóza:</w:t>
      </w:r>
    </w:p>
    <w:p w14:paraId="0D6B3034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Popis solitárního plicního ložiska</w:t>
      </w:r>
    </w:p>
    <w:p w14:paraId="6424F33C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Detekce primárního nádoru např. při cervikální adenopatii, jaterních nebo kostních metastázách neznámého původu</w:t>
      </w:r>
    </w:p>
    <w:p w14:paraId="78943569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Popis nádoru pankreatu</w:t>
      </w:r>
    </w:p>
    <w:p w14:paraId="68D1FD92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proofErr w:type="spellStart"/>
      <w:r w:rsidRPr="00D52650">
        <w:rPr>
          <w:color w:val="000000"/>
          <w:sz w:val="22"/>
          <w:szCs w:val="22"/>
          <w:u w:val="single"/>
          <w:lang w:val="cs-CZ"/>
        </w:rPr>
        <w:t>Staging</w:t>
      </w:r>
      <w:proofErr w:type="spellEnd"/>
      <w:r w:rsidRPr="00D52650">
        <w:rPr>
          <w:color w:val="000000"/>
          <w:sz w:val="22"/>
          <w:szCs w:val="22"/>
          <w:u w:val="single"/>
          <w:lang w:val="cs-CZ"/>
        </w:rPr>
        <w:t>:</w:t>
      </w:r>
    </w:p>
    <w:p w14:paraId="5AF9B0C4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Nádory hlavy a krku, včetně asistence při biopsii</w:t>
      </w:r>
    </w:p>
    <w:p w14:paraId="37FF2A2B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lastRenderedPageBreak/>
        <w:t>Primární karcinom plic</w:t>
      </w:r>
    </w:p>
    <w:p w14:paraId="53017ABA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Lokálně pokročilý karcinom prsu</w:t>
      </w:r>
    </w:p>
    <w:p w14:paraId="7ACE19DE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proofErr w:type="spellStart"/>
      <w:r w:rsidRPr="00D52650">
        <w:rPr>
          <w:color w:val="000000"/>
          <w:sz w:val="22"/>
          <w:szCs w:val="22"/>
          <w:lang w:val="cs-CZ"/>
        </w:rPr>
        <w:t>Ezofageální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nádor</w:t>
      </w:r>
    </w:p>
    <w:p w14:paraId="4FC353DB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Karcinom pankreatu</w:t>
      </w:r>
    </w:p>
    <w:p w14:paraId="1374DC4B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Kolorektální karcinom, zvláště při </w:t>
      </w:r>
      <w:proofErr w:type="spellStart"/>
      <w:r w:rsidRPr="00D52650">
        <w:rPr>
          <w:color w:val="000000"/>
          <w:sz w:val="22"/>
          <w:szCs w:val="22"/>
          <w:lang w:val="cs-CZ"/>
        </w:rPr>
        <w:t>restagingu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recidivy</w:t>
      </w:r>
    </w:p>
    <w:p w14:paraId="0533D3A9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Maligní lymfom</w:t>
      </w:r>
    </w:p>
    <w:p w14:paraId="304BA687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Maligní melanom, </w:t>
      </w:r>
      <w:proofErr w:type="spellStart"/>
      <w:r w:rsidRPr="00D52650">
        <w:rPr>
          <w:color w:val="000000"/>
          <w:sz w:val="22"/>
          <w:szCs w:val="22"/>
          <w:lang w:val="cs-CZ"/>
        </w:rPr>
        <w:t>Breslow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&gt;1,5 mm nebo metastázy do lymfatické uzliny při první diagnóze</w:t>
      </w:r>
    </w:p>
    <w:p w14:paraId="6140625B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Monitorování terapeutické odpovědi:</w:t>
      </w:r>
    </w:p>
    <w:p w14:paraId="7E0A2AAD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Maligní lymfom</w:t>
      </w:r>
    </w:p>
    <w:p w14:paraId="67142515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Karcinomy hlavy a krku</w:t>
      </w:r>
    </w:p>
    <w:p w14:paraId="0ADF88C0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Detekce v případě odůvodněného podezření na recidivy:</w:t>
      </w:r>
    </w:p>
    <w:p w14:paraId="3C8DD35D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Gliom s vysokým stupněm malignity (III nebo IV)</w:t>
      </w:r>
    </w:p>
    <w:p w14:paraId="27F277AB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Karcinomy hlavy a krku</w:t>
      </w:r>
    </w:p>
    <w:p w14:paraId="1BE5AFA5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Karcinom štítné žlázy (nemedulární): pacienti se zvýšenými sérovými hladinami </w:t>
      </w:r>
      <w:proofErr w:type="spellStart"/>
      <w:r w:rsidRPr="00D52650">
        <w:rPr>
          <w:color w:val="000000"/>
          <w:sz w:val="22"/>
          <w:szCs w:val="22"/>
          <w:lang w:val="cs-CZ"/>
        </w:rPr>
        <w:t>thyreoglobulinu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a negativní scintigrafií celého těla pomocí radioaktivního jódu</w:t>
      </w:r>
    </w:p>
    <w:p w14:paraId="558FFC38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Primární karcinom plic (viz také bod 4.4)</w:t>
      </w:r>
    </w:p>
    <w:p w14:paraId="0FCBE1CA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Karcinom prsu</w:t>
      </w:r>
    </w:p>
    <w:p w14:paraId="1BA1B603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Karcinom pankreatu</w:t>
      </w:r>
    </w:p>
    <w:p w14:paraId="25D04A56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Kolorektální karcinom</w:t>
      </w:r>
    </w:p>
    <w:p w14:paraId="42C09664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Karcinom ovaria</w:t>
      </w:r>
    </w:p>
    <w:p w14:paraId="7156494D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Maligní lymfom</w:t>
      </w:r>
    </w:p>
    <w:p w14:paraId="1646FA0C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Maligní melanom</w:t>
      </w:r>
    </w:p>
    <w:p w14:paraId="3BF36791" w14:textId="77777777" w:rsidR="00CB53DE" w:rsidRPr="00D52650" w:rsidRDefault="00CB53DE" w:rsidP="00CB53DE">
      <w:pPr>
        <w:jc w:val="both"/>
        <w:rPr>
          <w:b/>
          <w:color w:val="000000"/>
          <w:sz w:val="22"/>
          <w:szCs w:val="22"/>
          <w:lang w:val="cs-CZ"/>
        </w:rPr>
      </w:pPr>
    </w:p>
    <w:p w14:paraId="03D8EAEA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Kardiologie</w:t>
      </w:r>
    </w:p>
    <w:p w14:paraId="33B8C031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V kardiologické indikaci je diagnostickým cílem </w:t>
      </w:r>
      <w:proofErr w:type="spellStart"/>
      <w:r w:rsidRPr="00D52650">
        <w:rPr>
          <w:color w:val="000000"/>
          <w:sz w:val="22"/>
          <w:szCs w:val="22"/>
          <w:lang w:val="cs-CZ"/>
        </w:rPr>
        <w:t>viabilní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tkáň myokardu vychytávající glukózu, která je ale </w:t>
      </w:r>
      <w:proofErr w:type="spellStart"/>
      <w:r w:rsidRPr="00D52650">
        <w:rPr>
          <w:color w:val="000000"/>
          <w:sz w:val="22"/>
          <w:szCs w:val="22"/>
          <w:lang w:val="cs-CZ"/>
        </w:rPr>
        <w:t>hypoperfundovaná</w:t>
      </w:r>
      <w:proofErr w:type="spellEnd"/>
      <w:r w:rsidRPr="00D52650">
        <w:rPr>
          <w:color w:val="000000"/>
          <w:sz w:val="22"/>
          <w:szCs w:val="22"/>
          <w:lang w:val="cs-CZ"/>
        </w:rPr>
        <w:t>. Perfuse musí být stanovena předem pomocí vhodných technik hodnotících krevní průtok.</w:t>
      </w:r>
    </w:p>
    <w:p w14:paraId="51B1DF95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Hodnocení </w:t>
      </w:r>
      <w:proofErr w:type="spellStart"/>
      <w:r w:rsidRPr="00D52650">
        <w:rPr>
          <w:color w:val="000000"/>
          <w:sz w:val="22"/>
          <w:szCs w:val="22"/>
          <w:lang w:val="cs-CZ"/>
        </w:rPr>
        <w:t>viability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myokardu u pacientů se závažnou poruchou funkce levé komory, kteří jsou kandidáti na </w:t>
      </w:r>
      <w:proofErr w:type="spellStart"/>
      <w:r w:rsidRPr="00D52650">
        <w:rPr>
          <w:color w:val="000000"/>
          <w:sz w:val="22"/>
          <w:szCs w:val="22"/>
          <w:lang w:val="cs-CZ"/>
        </w:rPr>
        <w:t>revaskularizaci</w:t>
      </w:r>
      <w:proofErr w:type="spellEnd"/>
      <w:r w:rsidRPr="00D52650">
        <w:rPr>
          <w:color w:val="000000"/>
          <w:sz w:val="22"/>
          <w:szCs w:val="22"/>
          <w:lang w:val="cs-CZ"/>
        </w:rPr>
        <w:t>, když nejsou ostatní konvenční zobrazovací metody přínosné.</w:t>
      </w:r>
    </w:p>
    <w:p w14:paraId="2FDB316B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b/>
          <w:color w:val="000000"/>
          <w:sz w:val="22"/>
          <w:szCs w:val="22"/>
          <w:lang w:val="cs-CZ"/>
        </w:rPr>
      </w:pPr>
    </w:p>
    <w:p w14:paraId="0703AAFE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Neurologie</w:t>
      </w:r>
    </w:p>
    <w:p w14:paraId="32C392F0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V neurologické indikaci je diagnostickým cílem </w:t>
      </w:r>
      <w:proofErr w:type="spellStart"/>
      <w:r w:rsidRPr="00D52650">
        <w:rPr>
          <w:color w:val="000000"/>
          <w:sz w:val="22"/>
          <w:szCs w:val="22"/>
          <w:lang w:val="cs-CZ"/>
        </w:rPr>
        <w:t>interiktální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</w:t>
      </w:r>
      <w:proofErr w:type="spellStart"/>
      <w:r w:rsidRPr="00D52650">
        <w:rPr>
          <w:color w:val="000000"/>
          <w:sz w:val="22"/>
          <w:szCs w:val="22"/>
          <w:lang w:val="cs-CZ"/>
        </w:rPr>
        <w:t>hypometabolismus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glukózy.</w:t>
      </w:r>
    </w:p>
    <w:p w14:paraId="13E8D1AA" w14:textId="77777777" w:rsidR="00CB53DE" w:rsidRPr="00D52650" w:rsidRDefault="00CB53DE" w:rsidP="00CB53DE">
      <w:pPr>
        <w:numPr>
          <w:ilvl w:val="0"/>
          <w:numId w:val="1"/>
        </w:numPr>
        <w:tabs>
          <w:tab w:val="clear" w:pos="1080"/>
          <w:tab w:val="num" w:pos="851"/>
        </w:tabs>
        <w:ind w:left="851" w:hanging="171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Lokalizace </w:t>
      </w:r>
      <w:proofErr w:type="spellStart"/>
      <w:r w:rsidRPr="00D52650">
        <w:rPr>
          <w:color w:val="000000"/>
          <w:sz w:val="22"/>
          <w:szCs w:val="22"/>
          <w:lang w:val="cs-CZ"/>
        </w:rPr>
        <w:t>epileptogenního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ložiska v preoperačním hodnocení parciální temporální epilepsie.</w:t>
      </w:r>
    </w:p>
    <w:p w14:paraId="65C01D61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1633FC0A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4.2.</w:t>
      </w:r>
      <w:r w:rsidRPr="00D52650">
        <w:rPr>
          <w:b/>
          <w:color w:val="000000"/>
          <w:sz w:val="22"/>
          <w:szCs w:val="22"/>
          <w:lang w:val="cs-CZ"/>
        </w:rPr>
        <w:tab/>
        <w:t>Dávkování a způsob podání</w:t>
      </w:r>
    </w:p>
    <w:p w14:paraId="6358D164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</w:p>
    <w:p w14:paraId="6165C749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Dávkování</w:t>
      </w:r>
    </w:p>
    <w:p w14:paraId="189B332F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</w:p>
    <w:p w14:paraId="150748A0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i/>
          <w:iCs/>
          <w:sz w:val="22"/>
          <w:szCs w:val="22"/>
          <w:lang w:val="cs-CZ" w:eastAsia="sk-SK"/>
        </w:rPr>
      </w:pPr>
      <w:r w:rsidRPr="00D52650">
        <w:rPr>
          <w:i/>
          <w:iCs/>
          <w:sz w:val="22"/>
          <w:szCs w:val="22"/>
          <w:lang w:val="cs-CZ" w:eastAsia="sk-SK"/>
        </w:rPr>
        <w:t>Dospělí a starší osoby</w:t>
      </w:r>
    </w:p>
    <w:p w14:paraId="5379DE97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Doporučená aktivita u dospělých pacientů s hmotností 70 kg je 100 až 400 </w:t>
      </w:r>
      <w:proofErr w:type="spellStart"/>
      <w:r w:rsidRPr="00D52650">
        <w:rPr>
          <w:color w:val="000000"/>
          <w:sz w:val="22"/>
          <w:szCs w:val="22"/>
          <w:lang w:val="cs-CZ"/>
        </w:rPr>
        <w:t>MBq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(tato aktivita musí být upravena v závislosti na tělesné hmotnosti pacienta, na typu použité kamery a snímacím režimu), podávaná přímou intravenózní injekcí.</w:t>
      </w:r>
    </w:p>
    <w:p w14:paraId="055D371A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</w:p>
    <w:p w14:paraId="641797AA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i/>
          <w:iCs/>
          <w:sz w:val="22"/>
          <w:szCs w:val="22"/>
          <w:lang w:val="cs-CZ" w:eastAsia="sk-SK"/>
        </w:rPr>
      </w:pPr>
      <w:r w:rsidRPr="00D52650">
        <w:rPr>
          <w:i/>
          <w:iCs/>
          <w:sz w:val="22"/>
          <w:szCs w:val="22"/>
          <w:lang w:val="cs-CZ" w:eastAsia="sk-SK"/>
        </w:rPr>
        <w:t>Pediatrická populace</w:t>
      </w:r>
    </w:p>
    <w:p w14:paraId="78224FF0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Použití u dětí a dospívajících je třeba pečlivě zvážit na základě klinických potřeb a</w:t>
      </w:r>
    </w:p>
    <w:p w14:paraId="57619BB4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posuzování poměru rizika/přínosu u této skupiny pacientů. Aktivitu podávanou dětem a</w:t>
      </w:r>
    </w:p>
    <w:p w14:paraId="569F296C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dospívajícím lze vypočítat na základě doporučení dávkové karty pracovní skupiny pro pediatrii EANM, aktivita podávaná dětem a dospívajícím může být stanovena na základě doporučené aktivity u dospělých podle tělesné hmotnosti s využitím koeficientu zvětšení uvedeným v tabulce níže.</w:t>
      </w:r>
    </w:p>
    <w:p w14:paraId="3304F6B1" w14:textId="77777777" w:rsidR="00CB53DE" w:rsidRPr="00D52650" w:rsidRDefault="00CB53DE" w:rsidP="00CB53DE">
      <w:pPr>
        <w:autoSpaceDE w:val="0"/>
        <w:autoSpaceDN w:val="0"/>
        <w:adjustRightInd w:val="0"/>
        <w:jc w:val="center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>A[</w:t>
      </w:r>
      <w:proofErr w:type="spellStart"/>
      <w:r w:rsidRPr="00D52650">
        <w:rPr>
          <w:sz w:val="22"/>
          <w:szCs w:val="22"/>
          <w:lang w:val="cs-CZ" w:eastAsia="sk-SK"/>
        </w:rPr>
        <w:t>MBq</w:t>
      </w:r>
      <w:proofErr w:type="spellEnd"/>
      <w:r w:rsidRPr="00D52650">
        <w:rPr>
          <w:sz w:val="22"/>
          <w:szCs w:val="22"/>
          <w:lang w:val="cs-CZ" w:eastAsia="sk-SK"/>
        </w:rPr>
        <w:t>] Podávaná = Základní aktivita × Koeficient</w:t>
      </w:r>
    </w:p>
    <w:p w14:paraId="6078B1B3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</w:p>
    <w:p w14:paraId="11461239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  <w:r w:rsidRPr="00D52650">
        <w:rPr>
          <w:sz w:val="22"/>
          <w:szCs w:val="22"/>
          <w:lang w:val="cs-CZ" w:eastAsia="sk-SK"/>
        </w:rPr>
        <w:t>Základní aktivita</w:t>
      </w:r>
      <w:r w:rsidRPr="00D52650">
        <w:rPr>
          <w:color w:val="000000"/>
          <w:sz w:val="22"/>
          <w:szCs w:val="22"/>
          <w:lang w:val="cs-CZ"/>
        </w:rPr>
        <w:t xml:space="preserve"> pro 2D zobrazování je 25,9 </w:t>
      </w:r>
      <w:proofErr w:type="spellStart"/>
      <w:r w:rsidRPr="00D52650">
        <w:rPr>
          <w:color w:val="000000"/>
          <w:sz w:val="22"/>
          <w:szCs w:val="22"/>
          <w:lang w:val="cs-CZ"/>
        </w:rPr>
        <w:t>MBq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a pro 3D zobrazování 14,0 </w:t>
      </w:r>
      <w:proofErr w:type="spellStart"/>
      <w:r w:rsidRPr="00D52650">
        <w:rPr>
          <w:color w:val="000000"/>
          <w:sz w:val="22"/>
          <w:szCs w:val="22"/>
          <w:lang w:val="cs-CZ"/>
        </w:rPr>
        <w:t>MBq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(doporučeno u dětí).</w:t>
      </w:r>
    </w:p>
    <w:p w14:paraId="4835C14A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9"/>
        <w:gridCol w:w="1511"/>
        <w:gridCol w:w="1509"/>
        <w:gridCol w:w="1511"/>
        <w:gridCol w:w="1510"/>
        <w:gridCol w:w="1512"/>
      </w:tblGrid>
      <w:tr w:rsidR="00CB53DE" w:rsidRPr="00D52650" w14:paraId="40B9BC95" w14:textId="77777777" w:rsidTr="00F5352A">
        <w:tc>
          <w:tcPr>
            <w:tcW w:w="1535" w:type="dxa"/>
            <w:vAlign w:val="center"/>
          </w:tcPr>
          <w:p w14:paraId="514510A5" w14:textId="77777777" w:rsidR="00CB53DE" w:rsidRPr="00D52650" w:rsidRDefault="00CB53DE" w:rsidP="00F5352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bCs/>
                <w:sz w:val="22"/>
                <w:szCs w:val="22"/>
                <w:lang w:val="cs-CZ" w:eastAsia="sk-SK"/>
              </w:rPr>
              <w:lastRenderedPageBreak/>
              <w:t>Tělesná hmotnost</w:t>
            </w:r>
          </w:p>
          <w:p w14:paraId="619C5ED5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bCs/>
                <w:sz w:val="22"/>
                <w:szCs w:val="22"/>
                <w:lang w:val="cs-CZ" w:eastAsia="sk-SK"/>
              </w:rPr>
              <w:t>[kg]</w:t>
            </w:r>
          </w:p>
        </w:tc>
        <w:tc>
          <w:tcPr>
            <w:tcW w:w="1535" w:type="dxa"/>
          </w:tcPr>
          <w:p w14:paraId="46EF09DD" w14:textId="77777777" w:rsidR="00CB53DE" w:rsidRPr="00D52650" w:rsidRDefault="00CB53DE" w:rsidP="00F5352A">
            <w:pPr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Koeficient</w:t>
            </w:r>
          </w:p>
        </w:tc>
        <w:tc>
          <w:tcPr>
            <w:tcW w:w="1535" w:type="dxa"/>
            <w:vAlign w:val="center"/>
          </w:tcPr>
          <w:p w14:paraId="5B5A401F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bCs/>
                <w:sz w:val="22"/>
                <w:szCs w:val="22"/>
                <w:lang w:val="cs-CZ" w:eastAsia="sk-SK"/>
              </w:rPr>
              <w:t>Tělesná hmotnost [kg]</w:t>
            </w:r>
          </w:p>
        </w:tc>
        <w:tc>
          <w:tcPr>
            <w:tcW w:w="1535" w:type="dxa"/>
          </w:tcPr>
          <w:p w14:paraId="305AC120" w14:textId="77777777" w:rsidR="00CB53DE" w:rsidRPr="00D52650" w:rsidRDefault="00CB53DE" w:rsidP="00F5352A">
            <w:pPr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Koeficient</w:t>
            </w:r>
          </w:p>
        </w:tc>
        <w:tc>
          <w:tcPr>
            <w:tcW w:w="1536" w:type="dxa"/>
            <w:vAlign w:val="center"/>
          </w:tcPr>
          <w:p w14:paraId="24AFB6A1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bCs/>
                <w:sz w:val="22"/>
                <w:szCs w:val="22"/>
                <w:lang w:val="cs-CZ" w:eastAsia="sk-SK"/>
              </w:rPr>
              <w:t>Tělesná hmotnost [kg]</w:t>
            </w:r>
          </w:p>
        </w:tc>
        <w:tc>
          <w:tcPr>
            <w:tcW w:w="1536" w:type="dxa"/>
          </w:tcPr>
          <w:p w14:paraId="03FDF557" w14:textId="77777777" w:rsidR="00CB53DE" w:rsidRPr="00D52650" w:rsidRDefault="00CB53DE" w:rsidP="00F5352A">
            <w:pPr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Koeficient</w:t>
            </w:r>
          </w:p>
        </w:tc>
      </w:tr>
      <w:tr w:rsidR="00CB53DE" w:rsidRPr="00D52650" w14:paraId="05217D69" w14:textId="77777777" w:rsidTr="00F5352A">
        <w:tc>
          <w:tcPr>
            <w:tcW w:w="1535" w:type="dxa"/>
            <w:vAlign w:val="center"/>
          </w:tcPr>
          <w:p w14:paraId="30847FE3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3</w:t>
            </w:r>
          </w:p>
        </w:tc>
        <w:tc>
          <w:tcPr>
            <w:tcW w:w="1535" w:type="dxa"/>
            <w:vAlign w:val="center"/>
          </w:tcPr>
          <w:p w14:paraId="662B068C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</w:t>
            </w:r>
          </w:p>
        </w:tc>
        <w:tc>
          <w:tcPr>
            <w:tcW w:w="1535" w:type="dxa"/>
            <w:vAlign w:val="center"/>
          </w:tcPr>
          <w:p w14:paraId="1BA715F5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22</w:t>
            </w:r>
          </w:p>
        </w:tc>
        <w:tc>
          <w:tcPr>
            <w:tcW w:w="1535" w:type="dxa"/>
            <w:vAlign w:val="center"/>
          </w:tcPr>
          <w:p w14:paraId="74021D76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5,29</w:t>
            </w:r>
          </w:p>
        </w:tc>
        <w:tc>
          <w:tcPr>
            <w:tcW w:w="1536" w:type="dxa"/>
            <w:vAlign w:val="center"/>
          </w:tcPr>
          <w:p w14:paraId="10312052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42</w:t>
            </w:r>
          </w:p>
        </w:tc>
        <w:tc>
          <w:tcPr>
            <w:tcW w:w="1536" w:type="dxa"/>
            <w:vAlign w:val="center"/>
          </w:tcPr>
          <w:p w14:paraId="47B1A55B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9,14</w:t>
            </w:r>
          </w:p>
        </w:tc>
      </w:tr>
      <w:tr w:rsidR="00CB53DE" w:rsidRPr="00D52650" w14:paraId="1144FE5C" w14:textId="77777777" w:rsidTr="00F5352A">
        <w:tc>
          <w:tcPr>
            <w:tcW w:w="1535" w:type="dxa"/>
            <w:vAlign w:val="center"/>
          </w:tcPr>
          <w:p w14:paraId="70D4E774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4</w:t>
            </w:r>
          </w:p>
        </w:tc>
        <w:tc>
          <w:tcPr>
            <w:tcW w:w="1535" w:type="dxa"/>
            <w:vAlign w:val="center"/>
          </w:tcPr>
          <w:p w14:paraId="32C043D4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1,14</w:t>
            </w:r>
          </w:p>
        </w:tc>
        <w:tc>
          <w:tcPr>
            <w:tcW w:w="1535" w:type="dxa"/>
            <w:vAlign w:val="center"/>
          </w:tcPr>
          <w:p w14:paraId="14F6EB11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24</w:t>
            </w:r>
          </w:p>
        </w:tc>
        <w:tc>
          <w:tcPr>
            <w:tcW w:w="1535" w:type="dxa"/>
            <w:vAlign w:val="center"/>
          </w:tcPr>
          <w:p w14:paraId="5FA4B6DA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5,71</w:t>
            </w:r>
          </w:p>
        </w:tc>
        <w:tc>
          <w:tcPr>
            <w:tcW w:w="1536" w:type="dxa"/>
            <w:vAlign w:val="center"/>
          </w:tcPr>
          <w:p w14:paraId="4D07B491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44</w:t>
            </w:r>
          </w:p>
        </w:tc>
        <w:tc>
          <w:tcPr>
            <w:tcW w:w="1536" w:type="dxa"/>
            <w:vAlign w:val="center"/>
          </w:tcPr>
          <w:p w14:paraId="3BA703AE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9,57</w:t>
            </w:r>
          </w:p>
        </w:tc>
      </w:tr>
      <w:tr w:rsidR="00CB53DE" w:rsidRPr="00D52650" w14:paraId="63B22F51" w14:textId="77777777" w:rsidTr="00F5352A">
        <w:tc>
          <w:tcPr>
            <w:tcW w:w="1535" w:type="dxa"/>
            <w:vAlign w:val="center"/>
          </w:tcPr>
          <w:p w14:paraId="1EDEC23A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6</w:t>
            </w:r>
          </w:p>
        </w:tc>
        <w:tc>
          <w:tcPr>
            <w:tcW w:w="1535" w:type="dxa"/>
            <w:vAlign w:val="center"/>
          </w:tcPr>
          <w:p w14:paraId="62CDE463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1,71</w:t>
            </w:r>
          </w:p>
        </w:tc>
        <w:tc>
          <w:tcPr>
            <w:tcW w:w="1535" w:type="dxa"/>
            <w:vAlign w:val="center"/>
          </w:tcPr>
          <w:p w14:paraId="0FBFA872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26</w:t>
            </w:r>
          </w:p>
        </w:tc>
        <w:tc>
          <w:tcPr>
            <w:tcW w:w="1535" w:type="dxa"/>
            <w:vAlign w:val="center"/>
          </w:tcPr>
          <w:p w14:paraId="46ADE844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6,14</w:t>
            </w:r>
          </w:p>
        </w:tc>
        <w:tc>
          <w:tcPr>
            <w:tcW w:w="1536" w:type="dxa"/>
            <w:vAlign w:val="center"/>
          </w:tcPr>
          <w:p w14:paraId="18B46427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46</w:t>
            </w:r>
          </w:p>
        </w:tc>
        <w:tc>
          <w:tcPr>
            <w:tcW w:w="1536" w:type="dxa"/>
            <w:vAlign w:val="center"/>
          </w:tcPr>
          <w:p w14:paraId="5B72F1C6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10,00</w:t>
            </w:r>
          </w:p>
        </w:tc>
      </w:tr>
      <w:tr w:rsidR="00CB53DE" w:rsidRPr="00D52650" w14:paraId="212ADE6C" w14:textId="77777777" w:rsidTr="00F5352A">
        <w:tc>
          <w:tcPr>
            <w:tcW w:w="1535" w:type="dxa"/>
            <w:vAlign w:val="center"/>
          </w:tcPr>
          <w:p w14:paraId="45CE0FF7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8</w:t>
            </w:r>
          </w:p>
        </w:tc>
        <w:tc>
          <w:tcPr>
            <w:tcW w:w="1535" w:type="dxa"/>
            <w:vAlign w:val="center"/>
          </w:tcPr>
          <w:p w14:paraId="0D4752E5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2,14</w:t>
            </w:r>
          </w:p>
        </w:tc>
        <w:tc>
          <w:tcPr>
            <w:tcW w:w="1535" w:type="dxa"/>
            <w:vAlign w:val="center"/>
          </w:tcPr>
          <w:p w14:paraId="0443DEB5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28</w:t>
            </w:r>
          </w:p>
        </w:tc>
        <w:tc>
          <w:tcPr>
            <w:tcW w:w="1535" w:type="dxa"/>
            <w:vAlign w:val="center"/>
          </w:tcPr>
          <w:p w14:paraId="3AC36C1E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6,43</w:t>
            </w:r>
          </w:p>
        </w:tc>
        <w:tc>
          <w:tcPr>
            <w:tcW w:w="1536" w:type="dxa"/>
            <w:vAlign w:val="center"/>
          </w:tcPr>
          <w:p w14:paraId="761794BC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48</w:t>
            </w:r>
          </w:p>
        </w:tc>
        <w:tc>
          <w:tcPr>
            <w:tcW w:w="1536" w:type="dxa"/>
            <w:vAlign w:val="center"/>
          </w:tcPr>
          <w:p w14:paraId="01B1E856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10,29</w:t>
            </w:r>
          </w:p>
        </w:tc>
      </w:tr>
      <w:tr w:rsidR="00CB53DE" w:rsidRPr="00D52650" w14:paraId="4792C316" w14:textId="77777777" w:rsidTr="00F5352A">
        <w:tc>
          <w:tcPr>
            <w:tcW w:w="1535" w:type="dxa"/>
            <w:vAlign w:val="center"/>
          </w:tcPr>
          <w:p w14:paraId="04A38B0A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10</w:t>
            </w:r>
          </w:p>
        </w:tc>
        <w:tc>
          <w:tcPr>
            <w:tcW w:w="1535" w:type="dxa"/>
            <w:vAlign w:val="center"/>
          </w:tcPr>
          <w:p w14:paraId="1119B2C9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2,71</w:t>
            </w:r>
          </w:p>
        </w:tc>
        <w:tc>
          <w:tcPr>
            <w:tcW w:w="1535" w:type="dxa"/>
            <w:vAlign w:val="center"/>
          </w:tcPr>
          <w:p w14:paraId="21EC8CAF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30</w:t>
            </w:r>
          </w:p>
        </w:tc>
        <w:tc>
          <w:tcPr>
            <w:tcW w:w="1535" w:type="dxa"/>
            <w:vAlign w:val="center"/>
          </w:tcPr>
          <w:p w14:paraId="0ADDC9E1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6,86</w:t>
            </w:r>
          </w:p>
        </w:tc>
        <w:tc>
          <w:tcPr>
            <w:tcW w:w="1536" w:type="dxa"/>
            <w:vAlign w:val="center"/>
          </w:tcPr>
          <w:p w14:paraId="799667F8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50</w:t>
            </w:r>
          </w:p>
        </w:tc>
        <w:tc>
          <w:tcPr>
            <w:tcW w:w="1536" w:type="dxa"/>
            <w:vAlign w:val="center"/>
          </w:tcPr>
          <w:p w14:paraId="1A1F8DE1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10,71</w:t>
            </w:r>
          </w:p>
        </w:tc>
      </w:tr>
      <w:tr w:rsidR="00CB53DE" w:rsidRPr="00D52650" w14:paraId="315EEB3D" w14:textId="77777777" w:rsidTr="00F5352A">
        <w:tc>
          <w:tcPr>
            <w:tcW w:w="1535" w:type="dxa"/>
            <w:vAlign w:val="center"/>
          </w:tcPr>
          <w:p w14:paraId="6452EE5E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12</w:t>
            </w:r>
          </w:p>
        </w:tc>
        <w:tc>
          <w:tcPr>
            <w:tcW w:w="1535" w:type="dxa"/>
            <w:vAlign w:val="center"/>
          </w:tcPr>
          <w:p w14:paraId="5C8F8202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3,14</w:t>
            </w:r>
          </w:p>
        </w:tc>
        <w:tc>
          <w:tcPr>
            <w:tcW w:w="1535" w:type="dxa"/>
            <w:vAlign w:val="center"/>
          </w:tcPr>
          <w:p w14:paraId="087B7C38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32</w:t>
            </w:r>
          </w:p>
        </w:tc>
        <w:tc>
          <w:tcPr>
            <w:tcW w:w="1535" w:type="dxa"/>
            <w:vAlign w:val="center"/>
          </w:tcPr>
          <w:p w14:paraId="04591CA1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7,29</w:t>
            </w:r>
          </w:p>
        </w:tc>
        <w:tc>
          <w:tcPr>
            <w:tcW w:w="1536" w:type="dxa"/>
            <w:vAlign w:val="center"/>
          </w:tcPr>
          <w:p w14:paraId="69AC0D60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52-54</w:t>
            </w:r>
          </w:p>
        </w:tc>
        <w:tc>
          <w:tcPr>
            <w:tcW w:w="1536" w:type="dxa"/>
            <w:vAlign w:val="center"/>
          </w:tcPr>
          <w:p w14:paraId="088A0142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11,29</w:t>
            </w:r>
          </w:p>
        </w:tc>
      </w:tr>
      <w:tr w:rsidR="00CB53DE" w:rsidRPr="00D52650" w14:paraId="71A1F161" w14:textId="77777777" w:rsidTr="00F5352A">
        <w:tc>
          <w:tcPr>
            <w:tcW w:w="1535" w:type="dxa"/>
            <w:vAlign w:val="center"/>
          </w:tcPr>
          <w:p w14:paraId="217347B9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14</w:t>
            </w:r>
          </w:p>
        </w:tc>
        <w:tc>
          <w:tcPr>
            <w:tcW w:w="1535" w:type="dxa"/>
            <w:vAlign w:val="center"/>
          </w:tcPr>
          <w:p w14:paraId="5E933F66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3,57</w:t>
            </w:r>
          </w:p>
        </w:tc>
        <w:tc>
          <w:tcPr>
            <w:tcW w:w="1535" w:type="dxa"/>
            <w:vAlign w:val="center"/>
          </w:tcPr>
          <w:p w14:paraId="51F418ED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34</w:t>
            </w:r>
          </w:p>
        </w:tc>
        <w:tc>
          <w:tcPr>
            <w:tcW w:w="1535" w:type="dxa"/>
            <w:vAlign w:val="center"/>
          </w:tcPr>
          <w:p w14:paraId="1C6D1304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7,72</w:t>
            </w:r>
          </w:p>
        </w:tc>
        <w:tc>
          <w:tcPr>
            <w:tcW w:w="1536" w:type="dxa"/>
            <w:vAlign w:val="center"/>
          </w:tcPr>
          <w:p w14:paraId="1F7F4EE8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56-58</w:t>
            </w:r>
          </w:p>
        </w:tc>
        <w:tc>
          <w:tcPr>
            <w:tcW w:w="1536" w:type="dxa"/>
            <w:vAlign w:val="center"/>
          </w:tcPr>
          <w:p w14:paraId="7202D493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12,00</w:t>
            </w:r>
          </w:p>
        </w:tc>
      </w:tr>
      <w:tr w:rsidR="00CB53DE" w:rsidRPr="00D52650" w14:paraId="78FD6576" w14:textId="77777777" w:rsidTr="00F5352A">
        <w:tc>
          <w:tcPr>
            <w:tcW w:w="1535" w:type="dxa"/>
            <w:vAlign w:val="center"/>
          </w:tcPr>
          <w:p w14:paraId="6CB5F851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16</w:t>
            </w:r>
          </w:p>
        </w:tc>
        <w:tc>
          <w:tcPr>
            <w:tcW w:w="1535" w:type="dxa"/>
            <w:vAlign w:val="center"/>
          </w:tcPr>
          <w:p w14:paraId="1C0432CA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4,00</w:t>
            </w:r>
          </w:p>
        </w:tc>
        <w:tc>
          <w:tcPr>
            <w:tcW w:w="1535" w:type="dxa"/>
            <w:vAlign w:val="center"/>
          </w:tcPr>
          <w:p w14:paraId="681D307E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36</w:t>
            </w:r>
          </w:p>
        </w:tc>
        <w:tc>
          <w:tcPr>
            <w:tcW w:w="1535" w:type="dxa"/>
            <w:vAlign w:val="center"/>
          </w:tcPr>
          <w:p w14:paraId="42DA4C0E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8,00</w:t>
            </w:r>
          </w:p>
        </w:tc>
        <w:tc>
          <w:tcPr>
            <w:tcW w:w="1536" w:type="dxa"/>
            <w:vAlign w:val="center"/>
          </w:tcPr>
          <w:p w14:paraId="4BA49FB5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60-62</w:t>
            </w:r>
          </w:p>
        </w:tc>
        <w:tc>
          <w:tcPr>
            <w:tcW w:w="1536" w:type="dxa"/>
            <w:vAlign w:val="center"/>
          </w:tcPr>
          <w:p w14:paraId="058FCECE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12,71</w:t>
            </w:r>
          </w:p>
        </w:tc>
      </w:tr>
      <w:tr w:rsidR="00CB53DE" w:rsidRPr="00D52650" w14:paraId="542F615F" w14:textId="77777777" w:rsidTr="00F5352A">
        <w:tc>
          <w:tcPr>
            <w:tcW w:w="1535" w:type="dxa"/>
            <w:vAlign w:val="center"/>
          </w:tcPr>
          <w:p w14:paraId="2C2A5BA6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18</w:t>
            </w:r>
          </w:p>
        </w:tc>
        <w:tc>
          <w:tcPr>
            <w:tcW w:w="1535" w:type="dxa"/>
            <w:vAlign w:val="center"/>
          </w:tcPr>
          <w:p w14:paraId="700ACBD7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4,43</w:t>
            </w:r>
          </w:p>
        </w:tc>
        <w:tc>
          <w:tcPr>
            <w:tcW w:w="1535" w:type="dxa"/>
            <w:vAlign w:val="center"/>
          </w:tcPr>
          <w:p w14:paraId="693ADD75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38</w:t>
            </w:r>
          </w:p>
        </w:tc>
        <w:tc>
          <w:tcPr>
            <w:tcW w:w="1535" w:type="dxa"/>
            <w:vAlign w:val="center"/>
          </w:tcPr>
          <w:p w14:paraId="124EB024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8,43</w:t>
            </w:r>
          </w:p>
        </w:tc>
        <w:tc>
          <w:tcPr>
            <w:tcW w:w="1536" w:type="dxa"/>
            <w:vAlign w:val="center"/>
          </w:tcPr>
          <w:p w14:paraId="6FC8185C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64-66</w:t>
            </w:r>
          </w:p>
        </w:tc>
        <w:tc>
          <w:tcPr>
            <w:tcW w:w="1536" w:type="dxa"/>
            <w:vAlign w:val="center"/>
          </w:tcPr>
          <w:p w14:paraId="6A5B85F8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13,43</w:t>
            </w:r>
          </w:p>
        </w:tc>
      </w:tr>
      <w:tr w:rsidR="00CB53DE" w:rsidRPr="00D52650" w14:paraId="4E4AA7BA" w14:textId="77777777" w:rsidTr="00F5352A">
        <w:tc>
          <w:tcPr>
            <w:tcW w:w="1535" w:type="dxa"/>
            <w:vAlign w:val="center"/>
          </w:tcPr>
          <w:p w14:paraId="38B75107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20</w:t>
            </w:r>
          </w:p>
        </w:tc>
        <w:tc>
          <w:tcPr>
            <w:tcW w:w="1535" w:type="dxa"/>
            <w:vAlign w:val="center"/>
          </w:tcPr>
          <w:p w14:paraId="6BAC5960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4,86</w:t>
            </w:r>
          </w:p>
        </w:tc>
        <w:tc>
          <w:tcPr>
            <w:tcW w:w="1535" w:type="dxa"/>
            <w:vAlign w:val="center"/>
          </w:tcPr>
          <w:p w14:paraId="4DED9DED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40</w:t>
            </w:r>
          </w:p>
        </w:tc>
        <w:tc>
          <w:tcPr>
            <w:tcW w:w="1535" w:type="dxa"/>
            <w:vAlign w:val="center"/>
          </w:tcPr>
          <w:p w14:paraId="2FD07639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8,86</w:t>
            </w:r>
          </w:p>
        </w:tc>
        <w:tc>
          <w:tcPr>
            <w:tcW w:w="1536" w:type="dxa"/>
            <w:vAlign w:val="center"/>
          </w:tcPr>
          <w:p w14:paraId="6B543C79" w14:textId="77777777" w:rsidR="00CB53DE" w:rsidRPr="00D52650" w:rsidRDefault="00CB53DE" w:rsidP="00F5352A">
            <w:pPr>
              <w:jc w:val="both"/>
              <w:rPr>
                <w:b/>
                <w:sz w:val="22"/>
                <w:szCs w:val="22"/>
                <w:lang w:val="cs-CZ" w:eastAsia="sk-SK"/>
              </w:rPr>
            </w:pPr>
            <w:r w:rsidRPr="00D52650">
              <w:rPr>
                <w:b/>
                <w:sz w:val="22"/>
                <w:szCs w:val="22"/>
                <w:lang w:val="cs-CZ" w:eastAsia="sk-SK"/>
              </w:rPr>
              <w:t>68</w:t>
            </w:r>
          </w:p>
        </w:tc>
        <w:tc>
          <w:tcPr>
            <w:tcW w:w="1536" w:type="dxa"/>
            <w:vAlign w:val="center"/>
          </w:tcPr>
          <w:p w14:paraId="19A0F102" w14:textId="77777777" w:rsidR="00CB53DE" w:rsidRPr="00D52650" w:rsidRDefault="00CB53DE" w:rsidP="00F5352A">
            <w:pPr>
              <w:jc w:val="both"/>
              <w:rPr>
                <w:sz w:val="22"/>
                <w:szCs w:val="22"/>
                <w:lang w:val="cs-CZ" w:eastAsia="sk-SK"/>
              </w:rPr>
            </w:pPr>
            <w:r w:rsidRPr="00D52650">
              <w:rPr>
                <w:sz w:val="22"/>
                <w:szCs w:val="22"/>
                <w:lang w:val="cs-CZ" w:eastAsia="sk-SK"/>
              </w:rPr>
              <w:t>14,00</w:t>
            </w:r>
          </w:p>
        </w:tc>
      </w:tr>
    </w:tbl>
    <w:p w14:paraId="211167C9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</w:p>
    <w:p w14:paraId="33C73BFF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u w:val="single"/>
          <w:lang w:val="cs-CZ" w:eastAsia="sk-SK"/>
        </w:rPr>
      </w:pPr>
      <w:r w:rsidRPr="00D52650">
        <w:rPr>
          <w:sz w:val="22"/>
          <w:szCs w:val="22"/>
          <w:u w:val="single"/>
          <w:lang w:val="cs-CZ" w:eastAsia="sk-SK"/>
        </w:rPr>
        <w:t>Pacienti s poruchou funkce ledvin</w:t>
      </w:r>
    </w:p>
    <w:p w14:paraId="7D558564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Studie hodnotící rozšíření dávkovacího rozmezí a úpravy dávky nebyly s tímto přípravkem u běžných a speciálních populací provedeny. Farmakokinetika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u pacientů s poruchou funkce ledvin nebyla stanovena.</w:t>
      </w:r>
    </w:p>
    <w:p w14:paraId="54EB52C6" w14:textId="77777777" w:rsidR="00CB53DE" w:rsidRPr="00D52650" w:rsidRDefault="00CB53DE" w:rsidP="00CB53DE">
      <w:pPr>
        <w:rPr>
          <w:rFonts w:ascii="CG Times" w:hAnsi="CG Times"/>
          <w:color w:val="000000"/>
          <w:sz w:val="22"/>
          <w:szCs w:val="22"/>
          <w:lang w:val="cs-CZ"/>
        </w:rPr>
      </w:pPr>
    </w:p>
    <w:p w14:paraId="62D36319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u w:val="single"/>
          <w:lang w:val="cs-CZ" w:eastAsia="sk-SK"/>
        </w:rPr>
      </w:pPr>
      <w:r w:rsidRPr="00D52650">
        <w:rPr>
          <w:sz w:val="22"/>
          <w:szCs w:val="22"/>
          <w:u w:val="single"/>
          <w:lang w:val="cs-CZ" w:eastAsia="sk-SK"/>
        </w:rPr>
        <w:t>Způsob podání</w:t>
      </w:r>
    </w:p>
    <w:p w14:paraId="628DA8DF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Příprava pacienta viz bod 4.4</w:t>
      </w:r>
    </w:p>
    <w:p w14:paraId="6F945757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28E786C3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Aktivita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musí být měřena pomocí kalibrátoru těsně před injekcí.</w:t>
      </w:r>
    </w:p>
    <w:p w14:paraId="5529BEE1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Podání injekce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musí být intravenózní, aby nedošlo k ozáření v důsledku lokálního extravazálního podání a rovněž k artefaktům zobrazování.</w:t>
      </w:r>
    </w:p>
    <w:p w14:paraId="3D8CA7FD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58155E1D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i/>
          <w:iCs/>
          <w:sz w:val="22"/>
          <w:szCs w:val="22"/>
          <w:lang w:val="cs-CZ" w:eastAsia="sk-SK"/>
        </w:rPr>
      </w:pPr>
      <w:r w:rsidRPr="00D52650">
        <w:rPr>
          <w:i/>
          <w:iCs/>
          <w:sz w:val="22"/>
          <w:szCs w:val="22"/>
          <w:lang w:val="cs-CZ" w:eastAsia="sk-SK"/>
        </w:rPr>
        <w:t>Předběžná opatření před manipulací nebo podávání léčivého přípravku</w:t>
      </w:r>
    </w:p>
    <w:p w14:paraId="46C86A22" w14:textId="77777777" w:rsidR="00CB53DE" w:rsidRPr="00D52650" w:rsidRDefault="00CB53DE" w:rsidP="00CB53DE">
      <w:pPr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Nepodávejte více než 10 ml.</w:t>
      </w:r>
    </w:p>
    <w:p w14:paraId="119C6DE6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Pokyny k naředění léčivého přípravku před podáním viz bod 12.</w:t>
      </w:r>
    </w:p>
    <w:p w14:paraId="3930D856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21E83588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>Snímaní obrazu</w:t>
      </w:r>
    </w:p>
    <w:p w14:paraId="645A7786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Emisní skeny se obvykle provádí 45 až 60 minut po injekci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). Pokud zůstane dostatečná aktivita pro odpovídající statistické počítání, může být PET pomocí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také provedena až dvě nebo tři hodiny po podání, což sníží aktivitu na pozadí.</w:t>
      </w:r>
    </w:p>
    <w:p w14:paraId="7DA836B4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39478E3A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Je-li třeba, mohou být provedena v krátké době opakovaná vyšetření PET pomocí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).</w:t>
      </w:r>
    </w:p>
    <w:p w14:paraId="09282436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6401D6A0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4.3.</w:t>
      </w:r>
      <w:r w:rsidRPr="00D52650">
        <w:rPr>
          <w:b/>
          <w:color w:val="000000"/>
          <w:sz w:val="22"/>
          <w:szCs w:val="22"/>
          <w:lang w:val="cs-CZ"/>
        </w:rPr>
        <w:tab/>
        <w:t>Kontraindikace</w:t>
      </w:r>
    </w:p>
    <w:p w14:paraId="35939C01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7AD4B112" w14:textId="77777777" w:rsidR="00CB53DE" w:rsidRPr="00D52650" w:rsidRDefault="00CB53DE" w:rsidP="00CB53DE">
      <w:pPr>
        <w:numPr>
          <w:ilvl w:val="0"/>
          <w:numId w:val="2"/>
        </w:numPr>
        <w:tabs>
          <w:tab w:val="clear" w:pos="851"/>
          <w:tab w:val="num" w:pos="624"/>
        </w:tabs>
        <w:ind w:left="720" w:hanging="720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Přecitlivělost na léčivou látku nebo na kteroukoli pomocnou látku.</w:t>
      </w:r>
    </w:p>
    <w:p w14:paraId="4C99F028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489F08AB" w14:textId="77777777" w:rsidR="00CB53DE" w:rsidRPr="00D52650" w:rsidRDefault="00CB53DE" w:rsidP="00CB53DE">
      <w:pPr>
        <w:numPr>
          <w:ilvl w:val="1"/>
          <w:numId w:val="3"/>
        </w:numPr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Zvláštní upozornění a opatření pro použití</w:t>
      </w:r>
    </w:p>
    <w:p w14:paraId="181C75AB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</w:p>
    <w:p w14:paraId="16DAEA07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Případná přecitlivělost nebo anafylaktické reakce</w:t>
      </w:r>
    </w:p>
    <w:p w14:paraId="6750DE44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246BBABC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Pokud se objeví přecitlivělost nebo anafylaktické reakce, podávání tohoto léčivého přípravku musí být okamžitě přerušeno a je-li to zapotřebí, musí se zahájit intravenózní léčba. Aby mohla být přijata okamžitá naléhavá opatření, musí být bezprostředně k dispozici potřebné léčivé přípravky a zařízení, jako je endotracheální trubice a ventilátor. </w:t>
      </w:r>
    </w:p>
    <w:p w14:paraId="53E78494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u w:val="single"/>
          <w:lang w:val="cs-CZ" w:eastAsia="sk-SK"/>
        </w:rPr>
      </w:pPr>
    </w:p>
    <w:p w14:paraId="73D60A23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u w:val="single"/>
          <w:lang w:val="cs-CZ" w:eastAsia="sk-SK"/>
        </w:rPr>
      </w:pPr>
      <w:r w:rsidRPr="00D52650">
        <w:rPr>
          <w:sz w:val="22"/>
          <w:szCs w:val="22"/>
          <w:u w:val="single"/>
          <w:lang w:val="cs-CZ" w:eastAsia="sk-SK"/>
        </w:rPr>
        <w:t xml:space="preserve">Odůvodnění individuálního přínosu / rizika </w:t>
      </w:r>
    </w:p>
    <w:p w14:paraId="754FE1E3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</w:p>
    <w:p w14:paraId="1499C75D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U všech pacientů musí být expozice záření odůvodněná předpokládaným přínosem.</w:t>
      </w:r>
    </w:p>
    <w:p w14:paraId="6A820509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lastRenderedPageBreak/>
        <w:t>Podávaná aktivita by měla být v každém případě tak nízká, jak lze rozumně dosáhnout pro získání požadovaných diagnostických informací.</w:t>
      </w:r>
    </w:p>
    <w:p w14:paraId="19082AB3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</w:p>
    <w:p w14:paraId="695AD53D" w14:textId="77777777" w:rsidR="00CB53DE" w:rsidRPr="00D52650" w:rsidRDefault="00CB53DE" w:rsidP="00CB53DE">
      <w:pPr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Renální a jaterní postižení</w:t>
      </w:r>
    </w:p>
    <w:p w14:paraId="5CB3788C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</w:p>
    <w:p w14:paraId="6C248892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Vzhledem k tomu, že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fludeoxyglukóza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se vylučuje v převážné míře ledvinami, u pacientů se sníženou funkcí ledvin je velmi vysoká opatrnost při indikaci nutná, protože je u těchto pacientů možná zvýšená expozice záření. V případě potřeby je nutno aktivitu upravit.</w:t>
      </w:r>
    </w:p>
    <w:p w14:paraId="50983097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</w:p>
    <w:p w14:paraId="798CEBE4" w14:textId="77777777" w:rsidR="00CB53DE" w:rsidRPr="00D52650" w:rsidRDefault="00CB53DE" w:rsidP="00CB53DE">
      <w:pPr>
        <w:autoSpaceDE w:val="0"/>
        <w:autoSpaceDN w:val="0"/>
        <w:adjustRightInd w:val="0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Pediatrická populace</w:t>
      </w:r>
    </w:p>
    <w:p w14:paraId="2E427E45" w14:textId="77777777" w:rsidR="00CB53DE" w:rsidRPr="00D52650" w:rsidRDefault="00CB53DE" w:rsidP="00CB53DE">
      <w:pPr>
        <w:autoSpaceDE w:val="0"/>
        <w:autoSpaceDN w:val="0"/>
        <w:adjustRightInd w:val="0"/>
        <w:rPr>
          <w:sz w:val="22"/>
          <w:szCs w:val="22"/>
          <w:lang w:val="cs-CZ" w:eastAsia="sk-SK"/>
        </w:rPr>
      </w:pPr>
    </w:p>
    <w:p w14:paraId="47F2DB08" w14:textId="77777777" w:rsidR="00CB53DE" w:rsidRPr="00D52650" w:rsidRDefault="00CB53DE" w:rsidP="00CB53DE">
      <w:pPr>
        <w:autoSpaceDE w:val="0"/>
        <w:autoSpaceDN w:val="0"/>
        <w:adjustRightInd w:val="0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Pediatrická populace</w:t>
      </w:r>
      <w:r w:rsidRPr="00D52650">
        <w:rPr>
          <w:sz w:val="22"/>
          <w:szCs w:val="22"/>
          <w:lang w:val="cs-CZ" w:eastAsia="sk-SK"/>
        </w:rPr>
        <w:t xml:space="preserve">, </w:t>
      </w:r>
      <w:r w:rsidRPr="00D52650">
        <w:rPr>
          <w:color w:val="000000"/>
          <w:sz w:val="22"/>
          <w:szCs w:val="22"/>
          <w:lang w:val="cs-CZ"/>
        </w:rPr>
        <w:t>viz bod</w:t>
      </w:r>
      <w:r w:rsidRPr="00D52650">
        <w:rPr>
          <w:sz w:val="22"/>
          <w:szCs w:val="22"/>
          <w:lang w:val="cs-CZ" w:eastAsia="sk-SK"/>
        </w:rPr>
        <w:t xml:space="preserve"> 4.2. nebo 5.1.</w:t>
      </w:r>
    </w:p>
    <w:p w14:paraId="4AC9A410" w14:textId="77777777" w:rsidR="00CB53DE" w:rsidRPr="00D52650" w:rsidRDefault="00CB53DE" w:rsidP="00CB53DE">
      <w:pPr>
        <w:autoSpaceDE w:val="0"/>
        <w:autoSpaceDN w:val="0"/>
        <w:adjustRightInd w:val="0"/>
        <w:rPr>
          <w:sz w:val="22"/>
          <w:szCs w:val="22"/>
          <w:lang w:val="cs-CZ" w:eastAsia="sk-SK"/>
        </w:rPr>
      </w:pPr>
      <w:r w:rsidRPr="00D52650">
        <w:rPr>
          <w:color w:val="000000"/>
          <w:sz w:val="22"/>
          <w:szCs w:val="22"/>
          <w:lang w:val="cs-CZ"/>
        </w:rPr>
        <w:t xml:space="preserve">Indikaci je třeba pečlivě zvážit, protože efektivní dávka na </w:t>
      </w:r>
      <w:proofErr w:type="spellStart"/>
      <w:r w:rsidRPr="00D52650">
        <w:rPr>
          <w:color w:val="000000"/>
          <w:sz w:val="22"/>
          <w:szCs w:val="22"/>
          <w:lang w:val="cs-CZ"/>
        </w:rPr>
        <w:t>MBq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je vyšší u dětí než u dospělých (viz bod 11.</w:t>
      </w:r>
      <w:r w:rsidRPr="00D52650">
        <w:rPr>
          <w:sz w:val="22"/>
          <w:szCs w:val="22"/>
          <w:lang w:val="cs-CZ" w:eastAsia="sk-SK"/>
        </w:rPr>
        <w:t xml:space="preserve"> “Dozimetrické údaje”)</w:t>
      </w:r>
    </w:p>
    <w:p w14:paraId="34A7D1B4" w14:textId="77777777" w:rsidR="00CB53DE" w:rsidRPr="00D52650" w:rsidRDefault="00CB53DE" w:rsidP="00CB53DE">
      <w:pPr>
        <w:autoSpaceDE w:val="0"/>
        <w:autoSpaceDN w:val="0"/>
        <w:adjustRightInd w:val="0"/>
        <w:rPr>
          <w:sz w:val="22"/>
          <w:szCs w:val="22"/>
          <w:lang w:val="cs-CZ" w:eastAsia="sk-SK"/>
        </w:rPr>
      </w:pPr>
    </w:p>
    <w:p w14:paraId="2524C2B4" w14:textId="77777777" w:rsidR="00CB53DE" w:rsidRPr="00D52650" w:rsidRDefault="00CB53DE" w:rsidP="00CB53DE">
      <w:pPr>
        <w:autoSpaceDE w:val="0"/>
        <w:autoSpaceDN w:val="0"/>
        <w:adjustRightInd w:val="0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Příprava pacienta</w:t>
      </w:r>
    </w:p>
    <w:p w14:paraId="0E4E44D7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</w:p>
    <w:p w14:paraId="6BB3B096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Přípravek </w:t>
      </w:r>
      <w:proofErr w:type="spellStart"/>
      <w:r w:rsidRPr="00D52650">
        <w:rPr>
          <w:sz w:val="22"/>
          <w:szCs w:val="22"/>
          <w:lang w:val="cs-CZ"/>
        </w:rPr>
        <w:t>Fludeoxyglucose</w:t>
      </w:r>
      <w:proofErr w:type="spellEnd"/>
      <w:r w:rsidRPr="00D52650">
        <w:rPr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sz w:val="22"/>
          <w:szCs w:val="22"/>
          <w:lang w:val="cs-CZ"/>
        </w:rPr>
        <w:t>) Biont</w:t>
      </w:r>
      <w:r w:rsidRPr="00D52650">
        <w:rPr>
          <w:color w:val="000000"/>
          <w:sz w:val="22"/>
          <w:szCs w:val="22"/>
          <w:lang w:val="cs-CZ"/>
        </w:rPr>
        <w:t xml:space="preserve"> by měl být podáván pacientům, kteří jsou dostatečně hydratováni a kteří jsou nalačno minimálně 4 hodiny, aby se získala maximální cílová aktivita, jelikož vychytávání glukózy v buňkách je omezené („saturační kinetika“). Množství tekutiny by nemělo být omezováno (je třeba se vyhnout nápojům obsahujícím glukózu).</w:t>
      </w:r>
    </w:p>
    <w:p w14:paraId="678A6B71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Aby se získaly snímky s nejlepší kvalitou a pro snížení radiační expozice močového měchýře, by pacienti měli být podporováni, aby pili dostatečné množství a často močili před a po PET vyšetření.</w:t>
      </w:r>
    </w:p>
    <w:p w14:paraId="4448BF1E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35D8BF69" w14:textId="77777777" w:rsidR="00CB53DE" w:rsidRPr="00D52650" w:rsidRDefault="00CB53DE" w:rsidP="00CB53DE">
      <w:pPr>
        <w:jc w:val="both"/>
        <w:rPr>
          <w:i/>
          <w:color w:val="000000"/>
          <w:sz w:val="22"/>
          <w:szCs w:val="22"/>
          <w:lang w:val="cs-CZ"/>
        </w:rPr>
      </w:pPr>
      <w:r w:rsidRPr="00D52650">
        <w:rPr>
          <w:i/>
          <w:color w:val="000000"/>
          <w:sz w:val="22"/>
          <w:szCs w:val="22"/>
          <w:lang w:val="cs-CZ"/>
        </w:rPr>
        <w:t>- Onkologie a neurologie</w:t>
      </w:r>
    </w:p>
    <w:p w14:paraId="5733ECFE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Aby se zabránilo </w:t>
      </w:r>
      <w:proofErr w:type="spellStart"/>
      <w:r w:rsidRPr="00D52650">
        <w:rPr>
          <w:color w:val="000000"/>
          <w:sz w:val="22"/>
          <w:szCs w:val="22"/>
          <w:lang w:val="cs-CZ"/>
        </w:rPr>
        <w:t>hyperfixaci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izotopu ve svalu, doporučuje se pacientům, aby se vyhnuli veškerým nadměrným tělesným aktivitám před vyšetřením a aby byli v klidu mezi aplikací injekce a vyšetřením a během pořizování snímků (pacienti by měli ležet pohodlně bez čtení nebo mluvení).</w:t>
      </w:r>
    </w:p>
    <w:p w14:paraId="7E17C1E8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Metabolismus glukózy v mozku závisí na mozkové aktivitě. Proto by měla být neurologická vyšetření provedena po fázi relaxace v tmavé místnosti a s nízkou úrovní hluku na pozadí.</w:t>
      </w:r>
    </w:p>
    <w:p w14:paraId="7076E839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Před podáním by mělo být provedeno vyšetření glykémie, protože hyperglykémie může vést ke snížení citlivosti přípravku </w:t>
      </w:r>
      <w:proofErr w:type="spellStart"/>
      <w:r w:rsidRPr="00D52650">
        <w:rPr>
          <w:sz w:val="22"/>
          <w:szCs w:val="22"/>
          <w:lang w:val="cs-CZ"/>
        </w:rPr>
        <w:t>Fludeoxyglucose</w:t>
      </w:r>
      <w:proofErr w:type="spellEnd"/>
      <w:r w:rsidRPr="00D52650">
        <w:rPr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sz w:val="22"/>
          <w:szCs w:val="22"/>
          <w:lang w:val="cs-CZ"/>
        </w:rPr>
        <w:t>) Biont</w:t>
      </w:r>
      <w:r w:rsidRPr="00D52650">
        <w:rPr>
          <w:color w:val="000000"/>
          <w:sz w:val="22"/>
          <w:szCs w:val="22"/>
          <w:lang w:val="cs-CZ"/>
        </w:rPr>
        <w:t xml:space="preserve">, zvláště pokud je glykémie vyšší než 8 </w:t>
      </w:r>
      <w:proofErr w:type="spellStart"/>
      <w:r w:rsidRPr="00D52650">
        <w:rPr>
          <w:color w:val="000000"/>
          <w:sz w:val="22"/>
          <w:szCs w:val="22"/>
          <w:lang w:val="cs-CZ"/>
        </w:rPr>
        <w:t>mmol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/l. PET vyšetření pomocí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by podobně nemělo být prováděno u pacientů s nekontrolovaným diabetem.</w:t>
      </w:r>
    </w:p>
    <w:p w14:paraId="1CB7D828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53EC3D56" w14:textId="77777777" w:rsidR="00CB53DE" w:rsidRPr="00D52650" w:rsidRDefault="00CB53DE" w:rsidP="00CB53DE">
      <w:pPr>
        <w:tabs>
          <w:tab w:val="left" w:pos="1740"/>
        </w:tabs>
        <w:jc w:val="both"/>
        <w:rPr>
          <w:i/>
          <w:color w:val="000000"/>
          <w:sz w:val="22"/>
          <w:szCs w:val="22"/>
          <w:lang w:val="cs-CZ"/>
        </w:rPr>
      </w:pPr>
      <w:r w:rsidRPr="00D52650">
        <w:rPr>
          <w:i/>
          <w:color w:val="000000"/>
          <w:sz w:val="22"/>
          <w:szCs w:val="22"/>
          <w:lang w:val="cs-CZ"/>
        </w:rPr>
        <w:t>- Kardiologie</w:t>
      </w:r>
      <w:r w:rsidRPr="00D52650">
        <w:rPr>
          <w:i/>
          <w:color w:val="000000"/>
          <w:sz w:val="22"/>
          <w:szCs w:val="22"/>
          <w:lang w:val="cs-CZ"/>
        </w:rPr>
        <w:tab/>
      </w:r>
    </w:p>
    <w:p w14:paraId="28F9FF09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Jelikož vychytávání glukózy v myokardu je závislé na inzulinu, doporučuje se při vyšetření myokardu podání 50 g glukózy asi 1 hodinu před aplikací přípravku </w:t>
      </w:r>
      <w:proofErr w:type="spellStart"/>
      <w:r w:rsidRPr="00D52650">
        <w:rPr>
          <w:sz w:val="22"/>
          <w:szCs w:val="22"/>
          <w:lang w:val="cs-CZ"/>
        </w:rPr>
        <w:t>Fludeoxyglucose</w:t>
      </w:r>
      <w:proofErr w:type="spellEnd"/>
      <w:r w:rsidRPr="00D52650">
        <w:rPr>
          <w:sz w:val="22"/>
          <w:szCs w:val="22"/>
          <w:lang w:val="cs-CZ"/>
        </w:rPr>
        <w:t xml:space="preserve"> (</w:t>
      </w:r>
      <w:proofErr w:type="gramStart"/>
      <w:r w:rsidRPr="00D52650">
        <w:rPr>
          <w:sz w:val="22"/>
          <w:szCs w:val="22"/>
          <w:lang w:val="cs-CZ"/>
        </w:rPr>
        <w:t>18F</w:t>
      </w:r>
      <w:proofErr w:type="gramEnd"/>
      <w:r w:rsidRPr="00D52650">
        <w:rPr>
          <w:sz w:val="22"/>
          <w:szCs w:val="22"/>
          <w:lang w:val="cs-CZ"/>
        </w:rPr>
        <w:t>) Biont</w:t>
      </w:r>
      <w:r w:rsidRPr="00D52650">
        <w:rPr>
          <w:color w:val="000000"/>
          <w:sz w:val="22"/>
          <w:szCs w:val="22"/>
          <w:lang w:val="cs-CZ"/>
        </w:rPr>
        <w:t xml:space="preserve">. Eventuálně může být u pacientů s diabetes </w:t>
      </w:r>
      <w:proofErr w:type="spellStart"/>
      <w:r w:rsidRPr="00D52650">
        <w:rPr>
          <w:color w:val="000000"/>
          <w:sz w:val="22"/>
          <w:szCs w:val="22"/>
          <w:lang w:val="cs-CZ"/>
        </w:rPr>
        <w:t>mellitus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upravena hladina glukózy v krvi pomocí kombinované infúze inzulinu a glukózy (Insulin-</w:t>
      </w:r>
      <w:proofErr w:type="spellStart"/>
      <w:r w:rsidRPr="00D52650">
        <w:rPr>
          <w:color w:val="000000"/>
          <w:sz w:val="22"/>
          <w:szCs w:val="22"/>
          <w:lang w:val="cs-CZ"/>
        </w:rPr>
        <w:t>Glucose</w:t>
      </w:r>
      <w:proofErr w:type="spellEnd"/>
      <w:r w:rsidRPr="00D52650">
        <w:rPr>
          <w:color w:val="000000"/>
          <w:sz w:val="22"/>
          <w:szCs w:val="22"/>
          <w:lang w:val="cs-CZ"/>
        </w:rPr>
        <w:t>-</w:t>
      </w:r>
      <w:proofErr w:type="spellStart"/>
      <w:r w:rsidRPr="00D52650">
        <w:rPr>
          <w:color w:val="000000"/>
          <w:sz w:val="22"/>
          <w:szCs w:val="22"/>
          <w:lang w:val="cs-CZ"/>
        </w:rPr>
        <w:t>Clamp</w:t>
      </w:r>
      <w:proofErr w:type="spellEnd"/>
      <w:r w:rsidRPr="00D52650">
        <w:rPr>
          <w:color w:val="000000"/>
          <w:sz w:val="22"/>
          <w:szCs w:val="22"/>
          <w:lang w:val="cs-CZ"/>
        </w:rPr>
        <w:t>), je-li to nutné.</w:t>
      </w:r>
    </w:p>
    <w:p w14:paraId="19B9BA3D" w14:textId="77777777" w:rsidR="00CB53DE" w:rsidRPr="00D52650" w:rsidRDefault="00CB53DE" w:rsidP="00CB53DE">
      <w:pPr>
        <w:autoSpaceDE w:val="0"/>
        <w:autoSpaceDN w:val="0"/>
        <w:adjustRightInd w:val="0"/>
        <w:rPr>
          <w:color w:val="000000"/>
          <w:sz w:val="22"/>
          <w:szCs w:val="22"/>
          <w:u w:val="single"/>
          <w:lang w:val="cs-CZ"/>
        </w:rPr>
      </w:pPr>
    </w:p>
    <w:p w14:paraId="052A71F5" w14:textId="77777777" w:rsidR="00CB53DE" w:rsidRPr="00D52650" w:rsidRDefault="00CB53DE" w:rsidP="00CB53DE">
      <w:pPr>
        <w:autoSpaceDE w:val="0"/>
        <w:autoSpaceDN w:val="0"/>
        <w:adjustRightInd w:val="0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 xml:space="preserve">Interpretace výsledků vyšetření PET pomocí </w:t>
      </w:r>
      <w:proofErr w:type="spellStart"/>
      <w:r w:rsidRPr="00D52650">
        <w:rPr>
          <w:color w:val="000000"/>
          <w:sz w:val="22"/>
          <w:szCs w:val="22"/>
          <w:u w:val="single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u w:val="single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u w:val="single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u w:val="single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u w:val="single"/>
          <w:lang w:val="cs-CZ"/>
        </w:rPr>
        <w:t>)</w:t>
      </w:r>
    </w:p>
    <w:p w14:paraId="48627588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Infekční a/nebo zánětlivá onemocnění a rovněž regenerační procesy po operaci mohou vést k významnému vychytávání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 a tím k falešně pozitivním výsledkům, kdy hledání infekčních nebo zánětlivých poškození není cílem vyšetření PET pomocí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). V případech, kde akumulace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 může být způsobena buď nádorovým onemocněním, infekcí nebo zánětem, je možné vyžadovat další diagnostické metody pro stanovení příčinné patologické změny pro doplnění informací získaných PET s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fludeoxyglukózou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). V některých nastaveních, např. </w:t>
      </w:r>
      <w:proofErr w:type="spellStart"/>
      <w:r w:rsidRPr="00D52650">
        <w:rPr>
          <w:color w:val="000000"/>
          <w:sz w:val="22"/>
          <w:szCs w:val="22"/>
          <w:lang w:val="cs-CZ"/>
        </w:rPr>
        <w:t>staging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myelomu, se vyhledávají jak zhoubná, tak i infekční ložiska a mohou být rozlišena s dobrou přesností dle topografických kritérií, např. vychytávání na </w:t>
      </w:r>
      <w:proofErr w:type="spellStart"/>
      <w:r w:rsidRPr="00D52650">
        <w:rPr>
          <w:color w:val="000000"/>
          <w:sz w:val="22"/>
          <w:szCs w:val="22"/>
          <w:lang w:val="cs-CZ"/>
        </w:rPr>
        <w:t>extramedulární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místech a/nebo poškozených místech kostí a kloubů by bylo jako atypické poškození u mnohočetného myelomu a ukazovalo by na ložiska spojená s infekcí. V současné době nejsou k dispozici žádná jiná kritéria pro rozlišení infekce a zánětu pomoci zobrazení s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fludeoxyglukózou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).</w:t>
      </w:r>
    </w:p>
    <w:p w14:paraId="0443BEB9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lastRenderedPageBreak/>
        <w:t xml:space="preserve">Pro vysokou míru fyziologického vychytávání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 mozkem, srdcem a ledvinami, nebyla vyšetření PET/CT pomocí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 hodnocena v detekci septických metastatických ložisek v těchto orgánech, pokud byl pacient odeslán pro bakteriémii nebo endokarditidu. </w:t>
      </w:r>
    </w:p>
    <w:p w14:paraId="35F86A4B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Falešně pozitivní nebo falešně negativní výsledky vyšetření PET pomocí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nemohou být vyloučeny po radioterapii během prvních 2 až 4 měsíců. Pokud klinická indikace požaduje časnější diagnózu pomocí vyšetření PET s 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fludeoxyglukózou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), musí být pro časnější PET vyšetření s </w:t>
      </w:r>
      <w:proofErr w:type="spellStart"/>
      <w:r w:rsidRPr="00D52650">
        <w:rPr>
          <w:color w:val="000000"/>
          <w:sz w:val="22"/>
          <w:szCs w:val="22"/>
          <w:lang w:val="cs-CZ"/>
        </w:rPr>
        <w:t>fluodeoxyglukózou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 opodstatněný důvod. </w:t>
      </w:r>
    </w:p>
    <w:p w14:paraId="161283BC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Optimální je pauza alespoň 4 až 6 týdnů po posledním podání chemoterapie, zvláště pro zabránění falešně negativním výsledkům. Pokud klinická indikace požaduje časnější diagnózu pomocí PET vyšetření s </w:t>
      </w:r>
      <w:proofErr w:type="spellStart"/>
      <w:r w:rsidRPr="00D52650">
        <w:rPr>
          <w:color w:val="000000"/>
          <w:sz w:val="22"/>
          <w:szCs w:val="22"/>
          <w:lang w:val="cs-CZ"/>
        </w:rPr>
        <w:t>fluodeoxyglukózou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), musí být pro časnější PET vyšetření s </w:t>
      </w:r>
      <w:proofErr w:type="spellStart"/>
      <w:r w:rsidRPr="00D52650">
        <w:rPr>
          <w:color w:val="000000"/>
          <w:sz w:val="22"/>
          <w:szCs w:val="22"/>
          <w:lang w:val="cs-CZ"/>
        </w:rPr>
        <w:t>fluodeoxyglukózou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opodstatněný důvod. V případě režimu chemoterapie s cykly kratšími než 4 týdny by mělo být PET vyšetření s </w:t>
      </w:r>
      <w:proofErr w:type="spellStart"/>
      <w:r w:rsidRPr="00D52650">
        <w:rPr>
          <w:color w:val="000000"/>
          <w:sz w:val="22"/>
          <w:szCs w:val="22"/>
          <w:lang w:val="cs-CZ"/>
        </w:rPr>
        <w:t>fluodeoxyglukózou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provedeno těsně před opětovným zahájením nového cyklu.</w:t>
      </w:r>
    </w:p>
    <w:p w14:paraId="5F547785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U lymfomu nízkého stupně, karcinomu dolní části jícnu a u podezření na recidivu karcinomu ovaria musí být zváženy pouze pozitivní prediktivní hodnoty z důvodu omezené citlivosti PET s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fludeoxyglukózou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).</w:t>
      </w:r>
    </w:p>
    <w:p w14:paraId="467A1A4F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proofErr w:type="spellStart"/>
      <w:r w:rsidRPr="00D52650">
        <w:rPr>
          <w:color w:val="000000"/>
          <w:sz w:val="22"/>
          <w:szCs w:val="22"/>
          <w:lang w:val="cs-CZ"/>
        </w:rPr>
        <w:t>Fludeoxyglukóza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není účinná u detekce metastáz v mozku.</w:t>
      </w:r>
    </w:p>
    <w:p w14:paraId="55501F3E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Při současné aplikaci systému snímání PET (pozitronová emisní tomografie s použitím gama-kamery nebo CDET) se citlivost snižuje ve srovnání s jednoúčelovou PET, což vede ke snížení detekce lézí menších než 1 cm. V důsledku toho se CDET nedoporučuje při žádné indikaci a měla by být používána pouze v případě, pokud jednoúčelová PET není k dispozici.</w:t>
      </w:r>
    </w:p>
    <w:p w14:paraId="7DCB5F7E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Je doporučeno, aby snímky PET s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fludeoxyglukózou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 byly interpretovány ve vztahu k modalitám tomografického anatomického zobrazování (např. CT, sonografie, MR). Přesnost zobrazovací metody PET pomocí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je větší, použije-li se PET/CT než samotná PET kamera.</w:t>
      </w:r>
    </w:p>
    <w:p w14:paraId="7E1B5A08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</w:p>
    <w:p w14:paraId="7A59EF72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Když je použitý hybridní PET-CT skener spolu s podáním CT kontrastní látky nebo bez ní, na PET snímcích s korekcí na oslabení se mohou objevit některé artefakty.</w:t>
      </w:r>
    </w:p>
    <w:p w14:paraId="6743E312" w14:textId="77777777" w:rsidR="00CB53DE" w:rsidRPr="00D52650" w:rsidRDefault="00CB53DE" w:rsidP="00CB53DE">
      <w:pPr>
        <w:autoSpaceDE w:val="0"/>
        <w:autoSpaceDN w:val="0"/>
        <w:adjustRightInd w:val="0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Obecná varování</w:t>
      </w:r>
    </w:p>
    <w:p w14:paraId="326B10B7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Je doporučeno zabránit blízkému kontaktu mezi pacientem a malými dětmi během prvních 12 hodin po podání injekce.</w:t>
      </w:r>
    </w:p>
    <w:p w14:paraId="506D1AE4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Radiofarmaka by měla být dodávána, používána a podávána jen oprávněnými osobami </w:t>
      </w:r>
    </w:p>
    <w:p w14:paraId="04AD7193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v určeném zdravotnickém zařízení a jejich příjem, skladování, používání, přeprava a likvidace se řídí předpisy a příslušnými oprávněními vydanými kompetentními úřady.</w:t>
      </w:r>
    </w:p>
    <w:p w14:paraId="0CEAD897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Radiofarmaka by měla být připravována uživatelem takovým způsobem, který splňuje jak požadavky na radiační </w:t>
      </w:r>
      <w:proofErr w:type="gramStart"/>
      <w:r w:rsidRPr="00D52650">
        <w:rPr>
          <w:color w:val="000000"/>
          <w:sz w:val="22"/>
          <w:szCs w:val="22"/>
          <w:lang w:val="cs-CZ"/>
        </w:rPr>
        <w:t>bezpečnost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 tak na farmaceutickou kvalitu. Je třeba používat odpovídající aseptická opatření.</w:t>
      </w:r>
    </w:p>
    <w:p w14:paraId="2883D792" w14:textId="77777777" w:rsidR="00CB53DE" w:rsidRPr="00D52650" w:rsidRDefault="00CB53DE" w:rsidP="00CB53DE">
      <w:pPr>
        <w:autoSpaceDE w:val="0"/>
        <w:autoSpaceDN w:val="0"/>
        <w:adjustRightInd w:val="0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Specifická upozornění</w:t>
      </w:r>
    </w:p>
    <w:p w14:paraId="64F1D726" w14:textId="77777777" w:rsidR="00CB53DE" w:rsidRPr="00D52650" w:rsidRDefault="00CB53DE" w:rsidP="00CB53DE">
      <w:pPr>
        <w:tabs>
          <w:tab w:val="left" w:pos="567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Podle předpokládaného času podání injekce pacientovi může být obsah sodíku v některých případech vyšší než 1 </w:t>
      </w:r>
      <w:proofErr w:type="spellStart"/>
      <w:r w:rsidRPr="00D52650">
        <w:rPr>
          <w:color w:val="000000"/>
          <w:sz w:val="22"/>
          <w:szCs w:val="22"/>
          <w:lang w:val="cs-CZ"/>
        </w:rPr>
        <w:t>mmol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(23 mg). To je třeba vzít v úvahu u pacientů na dietě s nízkým obsahem sodíku.</w:t>
      </w:r>
    </w:p>
    <w:p w14:paraId="2CD7C837" w14:textId="77777777" w:rsidR="00CB53DE" w:rsidRPr="00D52650" w:rsidRDefault="00CB53DE" w:rsidP="00CB53DE">
      <w:pPr>
        <w:jc w:val="both"/>
        <w:rPr>
          <w:color w:val="000000"/>
          <w:sz w:val="22"/>
          <w:szCs w:val="22"/>
          <w:highlight w:val="yellow"/>
          <w:lang w:val="cs-CZ"/>
        </w:rPr>
      </w:pPr>
    </w:p>
    <w:p w14:paraId="6D289FAC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4.5</w:t>
      </w:r>
      <w:r w:rsidRPr="00D52650">
        <w:rPr>
          <w:b/>
          <w:color w:val="000000"/>
          <w:sz w:val="22"/>
          <w:szCs w:val="22"/>
          <w:lang w:val="cs-CZ"/>
        </w:rPr>
        <w:tab/>
        <w:t>Interakce s jinými léčivými přípravky a jiné formy interakce</w:t>
      </w:r>
    </w:p>
    <w:p w14:paraId="4A828471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0C1FBFBE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Všechny léčivé přípravky, které modifikují hladiny glukózy v krvi, mohou ovlivnit citlivost vyšetření (např. kortikosteroidy, </w:t>
      </w:r>
      <w:proofErr w:type="spellStart"/>
      <w:r w:rsidRPr="00D52650">
        <w:rPr>
          <w:color w:val="000000"/>
          <w:sz w:val="22"/>
          <w:szCs w:val="22"/>
          <w:lang w:val="cs-CZ"/>
        </w:rPr>
        <w:t>valproát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, </w:t>
      </w:r>
      <w:proofErr w:type="spellStart"/>
      <w:r w:rsidRPr="00D52650">
        <w:rPr>
          <w:color w:val="000000"/>
          <w:sz w:val="22"/>
          <w:szCs w:val="22"/>
          <w:lang w:val="cs-CZ"/>
        </w:rPr>
        <w:t>karbamazepin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, </w:t>
      </w:r>
      <w:proofErr w:type="spellStart"/>
      <w:r w:rsidRPr="00D52650">
        <w:rPr>
          <w:color w:val="000000"/>
          <w:sz w:val="22"/>
          <w:szCs w:val="22"/>
          <w:lang w:val="cs-CZ"/>
        </w:rPr>
        <w:t>fenytoin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, fenobarbital a katecholaminy). </w:t>
      </w:r>
    </w:p>
    <w:p w14:paraId="390B8396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Při podání kolonie-stimulujících faktorů (CSF) existuje zvýšené riziko vychytávání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 v kostní dřeni a slezině po dobu několika dnů. To musí být zváženo při interpretaci snímků získaných z PET vyšetření. Časový odstup minimálně pěti dnů mezi léčbou pomocí CSF a PET vyšetřením může tuto interakci snížit. </w:t>
      </w:r>
    </w:p>
    <w:p w14:paraId="09C3E7BD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Podání glukózy a inzulínu ovlivňuje vstup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) do buněk. V případě vysokých hladin glukózy v krvi a rovněž nízkých hladin inzulinu v plazmě se vstup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do orgánů a nádorů snižuje.</w:t>
      </w:r>
    </w:p>
    <w:p w14:paraId="3B9DF3C2" w14:textId="77777777" w:rsidR="00CB53DE" w:rsidRPr="00D52650" w:rsidRDefault="00CB53DE" w:rsidP="00CB53DE">
      <w:pPr>
        <w:tabs>
          <w:tab w:val="left" w:pos="4820"/>
          <w:tab w:val="left" w:pos="5103"/>
        </w:tabs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Žádné studie interakcí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a kontrastních látek pro počítačovou tomografii nebyly provedeny.</w:t>
      </w:r>
    </w:p>
    <w:p w14:paraId="359D38DC" w14:textId="77777777" w:rsidR="00CB53DE" w:rsidRPr="00D52650" w:rsidRDefault="00CB53DE" w:rsidP="00CB53DE">
      <w:pPr>
        <w:tabs>
          <w:tab w:val="left" w:pos="4820"/>
          <w:tab w:val="left" w:pos="5103"/>
        </w:tabs>
        <w:jc w:val="both"/>
        <w:rPr>
          <w:color w:val="000000"/>
          <w:sz w:val="22"/>
          <w:szCs w:val="22"/>
          <w:lang w:val="cs-CZ"/>
        </w:rPr>
      </w:pPr>
    </w:p>
    <w:p w14:paraId="6B9B3286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4.6</w:t>
      </w:r>
      <w:r w:rsidRPr="00D52650">
        <w:rPr>
          <w:b/>
          <w:color w:val="000000"/>
          <w:sz w:val="22"/>
          <w:szCs w:val="22"/>
          <w:lang w:val="cs-CZ"/>
        </w:rPr>
        <w:tab/>
        <w:t>Fertilita, těhotenství a kojení</w:t>
      </w:r>
    </w:p>
    <w:p w14:paraId="3BEE4062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3E28B343" w14:textId="77777777" w:rsidR="00CB53DE" w:rsidRPr="00D52650" w:rsidRDefault="00CB53DE" w:rsidP="00CB53DE">
      <w:pPr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Ženy v reprodukčním věku</w:t>
      </w:r>
    </w:p>
    <w:p w14:paraId="3A71EC01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lastRenderedPageBreak/>
        <w:t xml:space="preserve">Pokud je nezbytné aplikovat radioaktivní látku ženám v reprodukčním věku, je nutno vždy pátrat po možném těhotenství. Každá žena, u které došlo k vynechání menstruace, je v tomto kontextu považována za těhotnou, pokud se neprokáže opak. V případě nejistoty možného těhotenství (vynechaná menstruace, nepravidelná </w:t>
      </w:r>
      <w:proofErr w:type="gramStart"/>
      <w:r w:rsidRPr="00D52650">
        <w:rPr>
          <w:color w:val="000000"/>
          <w:sz w:val="22"/>
          <w:szCs w:val="22"/>
          <w:lang w:val="cs-CZ"/>
        </w:rPr>
        <w:t>menstruace,</w:t>
      </w:r>
      <w:proofErr w:type="gramEnd"/>
      <w:r w:rsidRPr="00D52650">
        <w:rPr>
          <w:color w:val="000000"/>
          <w:sz w:val="22"/>
          <w:szCs w:val="22"/>
          <w:lang w:val="cs-CZ"/>
        </w:rPr>
        <w:t xml:space="preserve"> atd.) je nutno pacientovi nabídnout alternativní metody bez ionizujícího záření (pokud existují).</w:t>
      </w:r>
    </w:p>
    <w:p w14:paraId="3F77B3F6" w14:textId="77777777" w:rsidR="00CB53DE" w:rsidRPr="00D52650" w:rsidRDefault="00CB53DE" w:rsidP="00CB53DE">
      <w:pPr>
        <w:jc w:val="both"/>
        <w:rPr>
          <w:color w:val="000000"/>
          <w:sz w:val="22"/>
          <w:szCs w:val="22"/>
          <w:u w:val="single"/>
          <w:lang w:val="cs-CZ"/>
        </w:rPr>
      </w:pPr>
    </w:p>
    <w:p w14:paraId="6E3FB6C9" w14:textId="77777777" w:rsidR="00CB53DE" w:rsidRPr="00D52650" w:rsidRDefault="00CB53DE" w:rsidP="00CB53DE">
      <w:pPr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Těhotenství</w:t>
      </w:r>
    </w:p>
    <w:p w14:paraId="1D5435BB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Radionuklidové vyšetření prováděné u těhotných žen způsobí i radiační zátěž plodu.</w:t>
      </w:r>
    </w:p>
    <w:p w14:paraId="429E1263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Proto by měly být v průběhu těhotenství prováděny pouze naléhavá vyšetření, kdy předpokládaný přínos daleko převyšuje riziko způsobené matce a plodu.</w:t>
      </w:r>
    </w:p>
    <w:p w14:paraId="4534366F" w14:textId="77777777" w:rsidR="00CB53DE" w:rsidRPr="00D52650" w:rsidRDefault="00CB53DE" w:rsidP="00CB53DE">
      <w:pPr>
        <w:jc w:val="both"/>
        <w:rPr>
          <w:color w:val="000000"/>
          <w:sz w:val="22"/>
          <w:szCs w:val="22"/>
          <w:u w:val="single"/>
          <w:lang w:val="cs-CZ"/>
        </w:rPr>
      </w:pPr>
    </w:p>
    <w:p w14:paraId="7F190B53" w14:textId="77777777" w:rsidR="00CB53DE" w:rsidRPr="00D52650" w:rsidRDefault="00CB53DE" w:rsidP="00CB53DE">
      <w:pPr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Kojení</w:t>
      </w:r>
    </w:p>
    <w:p w14:paraId="7ED46888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Před aplikací radiofarmak kojícím ženám je třeba zvážit, zda je možné podání radionuklidu odložit na dobu, kdy bude kojení ukončeno, a jaké je nejvhodnější radiofarmakum s ohledem na vylučování aktivity do mateřského mléka. Je-li aplikace nezbytná, je nutné přerušit kojení na 12 hodin a mléko, které se v prsu vytvoří, je nutno odsát a znehodnotit. </w:t>
      </w:r>
    </w:p>
    <w:p w14:paraId="35BB3380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Je doporučeno vyhnout se kontaktu mezi matkou a dítětem během prvních 12 hodin po podání injekce.</w:t>
      </w:r>
    </w:p>
    <w:p w14:paraId="69B38658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2735DDCC" w14:textId="77777777" w:rsidR="00CB53DE" w:rsidRPr="00D52650" w:rsidRDefault="00CB53DE" w:rsidP="00CB53DE">
      <w:pPr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Plodnost</w:t>
      </w:r>
    </w:p>
    <w:p w14:paraId="588AB04D" w14:textId="77777777" w:rsidR="00CB53DE" w:rsidRPr="00D52650" w:rsidRDefault="00CB53DE" w:rsidP="00CB53DE">
      <w:pPr>
        <w:jc w:val="both"/>
        <w:rPr>
          <w:color w:val="000000"/>
          <w:sz w:val="22"/>
          <w:szCs w:val="22"/>
          <w:u w:val="single"/>
          <w:lang w:val="cs-CZ"/>
        </w:rPr>
      </w:pPr>
    </w:p>
    <w:p w14:paraId="5B9A67F7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Studie hodnotící vliv přípravku na plodnost nebyly doposud provedeny.</w:t>
      </w:r>
    </w:p>
    <w:p w14:paraId="4D936172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</w:p>
    <w:p w14:paraId="2A0E2FC7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4.7</w:t>
      </w:r>
      <w:r w:rsidRPr="00D52650">
        <w:rPr>
          <w:b/>
          <w:color w:val="000000"/>
          <w:sz w:val="22"/>
          <w:szCs w:val="22"/>
          <w:lang w:val="cs-CZ"/>
        </w:rPr>
        <w:tab/>
        <w:t>Účinky na schopnost řídit a obsluhovat stroje</w:t>
      </w:r>
    </w:p>
    <w:p w14:paraId="7D4BA534" w14:textId="77777777" w:rsidR="00CB53DE" w:rsidRPr="00D52650" w:rsidRDefault="00CB53DE" w:rsidP="00CB53DE">
      <w:pPr>
        <w:rPr>
          <w:sz w:val="22"/>
          <w:szCs w:val="22"/>
          <w:lang w:val="cs-CZ" w:eastAsia="sk-SK"/>
        </w:rPr>
      </w:pPr>
    </w:p>
    <w:p w14:paraId="5A0DB9C5" w14:textId="77777777" w:rsidR="00CB53DE" w:rsidRPr="00D52650" w:rsidRDefault="00CB53DE" w:rsidP="00CB53DE">
      <w:pPr>
        <w:rPr>
          <w:sz w:val="22"/>
          <w:szCs w:val="22"/>
          <w:highlight w:val="yellow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>Není relevantní.</w:t>
      </w:r>
    </w:p>
    <w:p w14:paraId="5B9C9A66" w14:textId="77777777" w:rsidR="00CB53DE" w:rsidRPr="00D52650" w:rsidRDefault="00CB53DE" w:rsidP="00CB53DE">
      <w:pPr>
        <w:rPr>
          <w:color w:val="000000"/>
          <w:sz w:val="22"/>
          <w:szCs w:val="22"/>
          <w:highlight w:val="yellow"/>
          <w:lang w:val="cs-CZ"/>
        </w:rPr>
      </w:pPr>
    </w:p>
    <w:p w14:paraId="21DC211C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4.8</w:t>
      </w:r>
      <w:r w:rsidRPr="00D52650">
        <w:rPr>
          <w:b/>
          <w:color w:val="000000"/>
          <w:sz w:val="22"/>
          <w:szCs w:val="22"/>
          <w:lang w:val="cs-CZ"/>
        </w:rPr>
        <w:tab/>
        <w:t>Nežádoucí účinky</w:t>
      </w:r>
    </w:p>
    <w:p w14:paraId="14EEF1C9" w14:textId="77777777" w:rsidR="00CB53DE" w:rsidRPr="00D52650" w:rsidRDefault="00CB53DE" w:rsidP="00CB53DE">
      <w:pPr>
        <w:autoSpaceDE w:val="0"/>
        <w:autoSpaceDN w:val="0"/>
        <w:adjustRightInd w:val="0"/>
        <w:rPr>
          <w:sz w:val="22"/>
          <w:szCs w:val="22"/>
          <w:lang w:val="cs-CZ" w:eastAsia="sk-SK"/>
        </w:rPr>
      </w:pPr>
    </w:p>
    <w:p w14:paraId="2DBE71DB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Nežádoucí účinky po podání </w:t>
      </w:r>
      <w:proofErr w:type="spellStart"/>
      <w:r w:rsidRPr="00D52650">
        <w:rPr>
          <w:sz w:val="22"/>
          <w:szCs w:val="22"/>
          <w:lang w:val="cs-CZ" w:eastAsia="sk-SK"/>
        </w:rPr>
        <w:t>fludeoxyglukózy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 xml:space="preserve">) dosud nebyly pozorovány. </w:t>
      </w:r>
    </w:p>
    <w:p w14:paraId="7E229D1F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Expozice ionizujícímu záření může způsobit rakovinu nebo potenciální rozvoj dědičných defektů. Po podání maximální doporučené aktivity přípravku 400 </w:t>
      </w:r>
      <w:proofErr w:type="spellStart"/>
      <w:r w:rsidRPr="00D52650">
        <w:rPr>
          <w:sz w:val="22"/>
          <w:szCs w:val="22"/>
          <w:lang w:val="cs-CZ" w:eastAsia="sk-SK"/>
        </w:rPr>
        <w:t>MBq</w:t>
      </w:r>
      <w:proofErr w:type="spellEnd"/>
      <w:r w:rsidRPr="00D52650">
        <w:rPr>
          <w:sz w:val="22"/>
          <w:szCs w:val="22"/>
          <w:lang w:val="cs-CZ" w:eastAsia="sk-SK"/>
        </w:rPr>
        <w:t xml:space="preserve">, kde je efektivní dávka asi 7,6 </w:t>
      </w:r>
      <w:proofErr w:type="spellStart"/>
      <w:r w:rsidRPr="00D52650">
        <w:rPr>
          <w:sz w:val="22"/>
          <w:szCs w:val="22"/>
          <w:lang w:val="cs-CZ" w:eastAsia="sk-SK"/>
        </w:rPr>
        <w:t>mSv</w:t>
      </w:r>
      <w:proofErr w:type="spellEnd"/>
      <w:r w:rsidRPr="00D52650">
        <w:rPr>
          <w:sz w:val="22"/>
          <w:szCs w:val="22"/>
          <w:lang w:val="cs-CZ" w:eastAsia="sk-SK"/>
        </w:rPr>
        <w:t>, je nízká pravděpodobnost výskytu nežádoucích účinků.</w:t>
      </w:r>
    </w:p>
    <w:p w14:paraId="10F2A1CE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</w:p>
    <w:p w14:paraId="473612E8" w14:textId="77777777" w:rsidR="00CB53DE" w:rsidRPr="004E7810" w:rsidRDefault="00CB53DE" w:rsidP="00CB53DE">
      <w:pPr>
        <w:tabs>
          <w:tab w:val="left" w:pos="567"/>
        </w:tabs>
        <w:autoSpaceDE w:val="0"/>
        <w:autoSpaceDN w:val="0"/>
        <w:adjustRightInd w:val="0"/>
        <w:rPr>
          <w:sz w:val="22"/>
          <w:szCs w:val="22"/>
          <w:u w:val="single"/>
          <w:lang w:val="cs-CZ" w:eastAsia="cs-CZ" w:bidi="cs-CZ"/>
        </w:rPr>
      </w:pPr>
      <w:r w:rsidRPr="004E7810">
        <w:rPr>
          <w:sz w:val="22"/>
          <w:u w:val="single"/>
          <w:lang w:val="cs-CZ" w:eastAsia="cs-CZ" w:bidi="cs-CZ"/>
        </w:rPr>
        <w:t>Hlášení podezření na nežádoucí účinky</w:t>
      </w:r>
    </w:p>
    <w:p w14:paraId="00803B88" w14:textId="77777777" w:rsidR="00CB53DE" w:rsidRPr="004E7810" w:rsidRDefault="00CB53DE" w:rsidP="00CB53DE">
      <w:pPr>
        <w:tabs>
          <w:tab w:val="left" w:pos="567"/>
        </w:tabs>
        <w:autoSpaceDE w:val="0"/>
        <w:autoSpaceDN w:val="0"/>
        <w:adjustRightInd w:val="0"/>
        <w:rPr>
          <w:noProof/>
          <w:sz w:val="22"/>
          <w:szCs w:val="22"/>
          <w:lang w:val="cs-CZ" w:eastAsia="cs-CZ" w:bidi="cs-CZ"/>
        </w:rPr>
      </w:pPr>
      <w:r w:rsidRPr="004E7810">
        <w:rPr>
          <w:sz w:val="22"/>
          <w:lang w:val="cs-CZ" w:eastAsia="cs-CZ" w:bidi="cs-CZ"/>
        </w:rPr>
        <w:t xml:space="preserve">Hlášení podezření na nežádoucí účinky po registraci léčivého přípravku je důležité. Umožňuje to pokračovat ve sledování poměru přínosů a rizik léčivého přípravku. Žádáme zdravotnické pracovníky, aby hlásili podezření na nežádoucí účinky prostřednictvím </w:t>
      </w:r>
      <w:r w:rsidRPr="00D52650">
        <w:rPr>
          <w:sz w:val="22"/>
          <w:highlight w:val="lightGray"/>
          <w:lang w:val="cs-CZ" w:eastAsia="cs-CZ" w:bidi="cs-CZ"/>
        </w:rPr>
        <w:t>národního systému hlášení nežádoucích účinků uvedeného v </w:t>
      </w:r>
      <w:hyperlink r:id="rId5">
        <w:r w:rsidRPr="00D52650">
          <w:rPr>
            <w:color w:val="0000FF"/>
            <w:sz w:val="22"/>
            <w:highlight w:val="lightGray"/>
            <w:u w:val="single"/>
            <w:lang w:val="cs-CZ" w:eastAsia="cs-CZ" w:bidi="cs-CZ"/>
          </w:rPr>
          <w:t>Dodatku V</w:t>
        </w:r>
      </w:hyperlink>
      <w:r w:rsidRPr="004E7810">
        <w:rPr>
          <w:sz w:val="22"/>
          <w:lang w:val="cs-CZ" w:eastAsia="cs-CZ" w:bidi="cs-CZ"/>
        </w:rPr>
        <w:t>.</w:t>
      </w:r>
      <w:r w:rsidRPr="004E7810">
        <w:rPr>
          <w:color w:val="008000"/>
          <w:sz w:val="22"/>
          <w:lang w:val="cs-CZ" w:eastAsia="cs-CZ" w:bidi="cs-CZ"/>
        </w:rPr>
        <w:t>*</w:t>
      </w:r>
    </w:p>
    <w:p w14:paraId="52787D70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</w:p>
    <w:p w14:paraId="737111E5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4.9.</w:t>
      </w:r>
      <w:r w:rsidRPr="00D52650">
        <w:rPr>
          <w:b/>
          <w:color w:val="000000"/>
          <w:sz w:val="22"/>
          <w:szCs w:val="22"/>
          <w:lang w:val="cs-CZ"/>
        </w:rPr>
        <w:tab/>
        <w:t>Předávkování</w:t>
      </w:r>
    </w:p>
    <w:p w14:paraId="53C86C2F" w14:textId="77777777" w:rsidR="00CB53DE" w:rsidRPr="00D52650" w:rsidRDefault="00CB53DE" w:rsidP="00CB53DE">
      <w:pPr>
        <w:autoSpaceDE w:val="0"/>
        <w:autoSpaceDN w:val="0"/>
        <w:adjustRightInd w:val="0"/>
        <w:rPr>
          <w:sz w:val="22"/>
          <w:szCs w:val="22"/>
          <w:lang w:val="cs-CZ" w:eastAsia="sk-SK"/>
        </w:rPr>
      </w:pPr>
    </w:p>
    <w:p w14:paraId="4AEB39CA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V případě radiačního předávkování </w:t>
      </w:r>
      <w:proofErr w:type="spellStart"/>
      <w:r w:rsidRPr="00D52650">
        <w:rPr>
          <w:sz w:val="22"/>
          <w:szCs w:val="22"/>
          <w:lang w:val="cs-CZ" w:eastAsia="sk-SK"/>
        </w:rPr>
        <w:t>fludeoxyglukózou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musí být absorbovaná dávka podaná pacientovi snížena prostřednictvím maximálního možného zvýšení eliminace radionuklidu pomocí forsírované diurézy a častého močení. Mohl by pomoci odhad účinné dávky, která byla aplikovaná.</w:t>
      </w:r>
    </w:p>
    <w:p w14:paraId="3D14D7BE" w14:textId="77777777" w:rsidR="00CB53DE" w:rsidRPr="00D52650" w:rsidRDefault="00CB53DE" w:rsidP="00CB53DE">
      <w:pPr>
        <w:autoSpaceDE w:val="0"/>
        <w:autoSpaceDN w:val="0"/>
        <w:adjustRightInd w:val="0"/>
        <w:rPr>
          <w:sz w:val="22"/>
          <w:szCs w:val="22"/>
          <w:lang w:val="cs-CZ" w:eastAsia="sk-SK"/>
        </w:rPr>
      </w:pPr>
    </w:p>
    <w:p w14:paraId="63A57A4C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5E51B37D" w14:textId="77777777" w:rsidR="00CB53DE" w:rsidRPr="00D52650" w:rsidRDefault="00CB53DE" w:rsidP="00CB53DE">
      <w:pPr>
        <w:tabs>
          <w:tab w:val="left" w:pos="360"/>
        </w:tabs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5.</w:t>
      </w:r>
      <w:r w:rsidRPr="00D52650">
        <w:rPr>
          <w:b/>
          <w:caps/>
          <w:color w:val="000000"/>
          <w:sz w:val="22"/>
          <w:szCs w:val="22"/>
          <w:lang w:val="cs-CZ"/>
        </w:rPr>
        <w:tab/>
        <w:t>FARMAKOLOGICKÉ VLASTNOSTI</w:t>
      </w:r>
    </w:p>
    <w:p w14:paraId="7F5FA23D" w14:textId="77777777" w:rsidR="00CB53DE" w:rsidRPr="00D52650" w:rsidRDefault="00CB53DE" w:rsidP="00CB53DE">
      <w:pPr>
        <w:rPr>
          <w:b/>
          <w:caps/>
          <w:color w:val="000000"/>
          <w:sz w:val="22"/>
          <w:szCs w:val="22"/>
          <w:lang w:val="cs-CZ"/>
        </w:rPr>
      </w:pPr>
    </w:p>
    <w:p w14:paraId="12E00A94" w14:textId="77777777" w:rsidR="00CB53DE" w:rsidRPr="00D52650" w:rsidRDefault="00CB53DE" w:rsidP="00CB53DE">
      <w:pPr>
        <w:tabs>
          <w:tab w:val="left" w:pos="567"/>
        </w:tabs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5.1.</w:t>
      </w:r>
      <w:r w:rsidRPr="00D52650">
        <w:rPr>
          <w:b/>
          <w:color w:val="000000"/>
          <w:sz w:val="22"/>
          <w:szCs w:val="22"/>
          <w:lang w:val="cs-CZ"/>
        </w:rPr>
        <w:tab/>
        <w:t>Farmakodynamické vlastnosti</w:t>
      </w:r>
    </w:p>
    <w:p w14:paraId="38029287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55BC18D0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Farmakoterapeutická skupina: </w:t>
      </w:r>
      <w:proofErr w:type="spellStart"/>
      <w:r w:rsidRPr="00D52650">
        <w:rPr>
          <w:color w:val="000000"/>
          <w:sz w:val="22"/>
          <w:szCs w:val="22"/>
          <w:lang w:val="cs-CZ"/>
        </w:rPr>
        <w:t>radiofarmaceutické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</w:t>
      </w:r>
      <w:proofErr w:type="spellStart"/>
      <w:r w:rsidRPr="00D52650">
        <w:rPr>
          <w:color w:val="000000"/>
          <w:sz w:val="22"/>
          <w:szCs w:val="22"/>
          <w:lang w:val="cs-CZ"/>
        </w:rPr>
        <w:t>diagnostikum</w:t>
      </w:r>
      <w:proofErr w:type="spellEnd"/>
    </w:p>
    <w:p w14:paraId="2C10C040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ATC kód: V09IX04</w:t>
      </w:r>
    </w:p>
    <w:p w14:paraId="19AC252E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Při chemických koncentracích používaných pro diagnostická vyšetření se nezdá, že by </w:t>
      </w:r>
      <w:proofErr w:type="spellStart"/>
      <w:r w:rsidRPr="00D52650">
        <w:rPr>
          <w:color w:val="000000"/>
          <w:sz w:val="22"/>
          <w:szCs w:val="22"/>
          <w:lang w:val="cs-CZ"/>
        </w:rPr>
        <w:t>fludeoxyglukóza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color w:val="000000"/>
          <w:sz w:val="22"/>
          <w:szCs w:val="22"/>
          <w:lang w:val="cs-CZ"/>
        </w:rPr>
        <w:t>) měla nějakou farmakodynamickou aktivitu.</w:t>
      </w:r>
    </w:p>
    <w:p w14:paraId="7C1B0596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33B24E51" w14:textId="77777777" w:rsidR="00CB53DE" w:rsidRPr="00D52650" w:rsidRDefault="00CB53DE" w:rsidP="00CB53DE">
      <w:pPr>
        <w:ind w:left="705" w:hanging="705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lastRenderedPageBreak/>
        <w:t>5.2.</w:t>
      </w:r>
      <w:r w:rsidRPr="00D52650">
        <w:rPr>
          <w:b/>
          <w:color w:val="000000"/>
          <w:sz w:val="22"/>
          <w:szCs w:val="22"/>
          <w:lang w:val="cs-CZ"/>
        </w:rPr>
        <w:tab/>
        <w:t xml:space="preserve">Farmakokinetické vlastnosti </w:t>
      </w:r>
    </w:p>
    <w:p w14:paraId="5A7358F5" w14:textId="77777777" w:rsidR="00CB53DE" w:rsidRPr="00D52650" w:rsidRDefault="00CB53DE" w:rsidP="00CB53DE">
      <w:pPr>
        <w:autoSpaceDE w:val="0"/>
        <w:autoSpaceDN w:val="0"/>
        <w:adjustRightInd w:val="0"/>
        <w:rPr>
          <w:sz w:val="22"/>
          <w:szCs w:val="22"/>
          <w:lang w:val="cs-CZ" w:eastAsia="sk-SK"/>
        </w:rPr>
      </w:pPr>
    </w:p>
    <w:p w14:paraId="16289F8D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color w:val="000000"/>
          <w:sz w:val="22"/>
          <w:szCs w:val="22"/>
          <w:u w:val="single"/>
          <w:lang w:val="cs-CZ"/>
        </w:rPr>
        <w:t>Distribuce</w:t>
      </w:r>
    </w:p>
    <w:p w14:paraId="2F7D90F5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proofErr w:type="spellStart"/>
      <w:r w:rsidRPr="00D52650">
        <w:rPr>
          <w:sz w:val="22"/>
          <w:szCs w:val="22"/>
          <w:lang w:val="cs-CZ" w:eastAsia="sk-SK"/>
        </w:rPr>
        <w:t>Fludeoxyglukóza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 xml:space="preserve">) je analog glukózy, který se akumuluje ve všech buňkách, které využívají glukózu jako primární zdroj energie. </w:t>
      </w:r>
      <w:proofErr w:type="spellStart"/>
      <w:r w:rsidRPr="00D52650">
        <w:rPr>
          <w:sz w:val="22"/>
          <w:szCs w:val="22"/>
          <w:lang w:val="cs-CZ" w:eastAsia="sk-SK"/>
        </w:rPr>
        <w:t>Fludeoxyglukóza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se akumuluje v nádorech s vysokým obratem glukózy.</w:t>
      </w:r>
    </w:p>
    <w:p w14:paraId="7F2ECB56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Po intravenózním podání je farmakokinetický profil </w:t>
      </w:r>
      <w:proofErr w:type="spellStart"/>
      <w:r w:rsidRPr="00D52650">
        <w:rPr>
          <w:sz w:val="22"/>
          <w:szCs w:val="22"/>
          <w:lang w:val="cs-CZ" w:eastAsia="sk-SK"/>
        </w:rPr>
        <w:t>fludeoxyglukózy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 xml:space="preserve">) v cévním </w:t>
      </w:r>
      <w:proofErr w:type="spellStart"/>
      <w:r w:rsidRPr="00D52650">
        <w:rPr>
          <w:sz w:val="22"/>
          <w:szCs w:val="22"/>
          <w:lang w:val="cs-CZ" w:eastAsia="sk-SK"/>
        </w:rPr>
        <w:t>kompartmentu</w:t>
      </w:r>
      <w:proofErr w:type="spellEnd"/>
      <w:r w:rsidRPr="00D52650">
        <w:rPr>
          <w:sz w:val="22"/>
          <w:szCs w:val="22"/>
          <w:lang w:val="cs-CZ" w:eastAsia="sk-SK"/>
        </w:rPr>
        <w:t xml:space="preserve"> </w:t>
      </w:r>
      <w:proofErr w:type="spellStart"/>
      <w:r w:rsidRPr="00D52650">
        <w:rPr>
          <w:sz w:val="22"/>
          <w:szCs w:val="22"/>
          <w:lang w:val="cs-CZ" w:eastAsia="sk-SK"/>
        </w:rPr>
        <w:t>biexponenciální</w:t>
      </w:r>
      <w:proofErr w:type="spellEnd"/>
      <w:r w:rsidRPr="00D52650">
        <w:rPr>
          <w:sz w:val="22"/>
          <w:szCs w:val="22"/>
          <w:lang w:val="cs-CZ" w:eastAsia="sk-SK"/>
        </w:rPr>
        <w:t xml:space="preserve">. Doba distribuce je 1 minuta a eliminační poločas asi 12 minut. </w:t>
      </w:r>
    </w:p>
    <w:p w14:paraId="413B9542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U zdravých subjektů se </w:t>
      </w:r>
      <w:proofErr w:type="spellStart"/>
      <w:r w:rsidRPr="00D52650">
        <w:rPr>
          <w:sz w:val="22"/>
          <w:szCs w:val="22"/>
          <w:lang w:val="cs-CZ" w:eastAsia="sk-SK"/>
        </w:rPr>
        <w:t>fludeoxyglukóza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rozsáhle distribuuje v těle, zvláště v mozku a srdci a v menším stupni v plicích a játrech.</w:t>
      </w:r>
    </w:p>
    <w:p w14:paraId="25D9D7ED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</w:p>
    <w:p w14:paraId="313D557F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Orgánové vychytávání</w:t>
      </w:r>
    </w:p>
    <w:p w14:paraId="1905BE08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Vychytávání </w:t>
      </w:r>
      <w:proofErr w:type="spellStart"/>
      <w:r w:rsidRPr="00D52650">
        <w:rPr>
          <w:sz w:val="22"/>
          <w:szCs w:val="22"/>
          <w:lang w:val="cs-CZ" w:eastAsia="sk-SK"/>
        </w:rPr>
        <w:t>fludeoxyglukózy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v buňkách provádí tkáňově specifické systémy přenašečů,</w:t>
      </w:r>
    </w:p>
    <w:p w14:paraId="0C580B08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které jsou částečně závislé na inzulinu, a proto mohou být ovlivněny jídlem, nutričním stavem a přítomností diabetes </w:t>
      </w:r>
      <w:proofErr w:type="spellStart"/>
      <w:r w:rsidRPr="00D52650">
        <w:rPr>
          <w:sz w:val="22"/>
          <w:szCs w:val="22"/>
          <w:lang w:val="cs-CZ" w:eastAsia="sk-SK"/>
        </w:rPr>
        <w:t>mellitus</w:t>
      </w:r>
      <w:proofErr w:type="spellEnd"/>
      <w:r w:rsidRPr="00D52650">
        <w:rPr>
          <w:sz w:val="22"/>
          <w:szCs w:val="22"/>
          <w:lang w:val="cs-CZ" w:eastAsia="sk-SK"/>
        </w:rPr>
        <w:t xml:space="preserve">. U pacientů s diabetes </w:t>
      </w:r>
      <w:proofErr w:type="spellStart"/>
      <w:r w:rsidRPr="00D52650">
        <w:rPr>
          <w:sz w:val="22"/>
          <w:szCs w:val="22"/>
          <w:lang w:val="cs-CZ" w:eastAsia="sk-SK"/>
        </w:rPr>
        <w:t>mellitus</w:t>
      </w:r>
      <w:proofErr w:type="spellEnd"/>
      <w:r w:rsidRPr="00D52650">
        <w:rPr>
          <w:sz w:val="22"/>
          <w:szCs w:val="22"/>
          <w:lang w:val="cs-CZ" w:eastAsia="sk-SK"/>
        </w:rPr>
        <w:t xml:space="preserve"> se vyskytuje snížené vychytávání </w:t>
      </w:r>
      <w:proofErr w:type="spellStart"/>
      <w:r w:rsidRPr="00D52650">
        <w:rPr>
          <w:sz w:val="22"/>
          <w:szCs w:val="22"/>
          <w:lang w:val="cs-CZ" w:eastAsia="sk-SK"/>
        </w:rPr>
        <w:t>fludeoxyglukózy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v buňkách v důsledku změněné tkáňové distribuce a metabolismu glukózy.</w:t>
      </w:r>
    </w:p>
    <w:p w14:paraId="28ABE862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proofErr w:type="spellStart"/>
      <w:r w:rsidRPr="00D52650">
        <w:rPr>
          <w:sz w:val="22"/>
          <w:szCs w:val="22"/>
          <w:lang w:val="cs-CZ" w:eastAsia="sk-SK"/>
        </w:rPr>
        <w:t>Fludeoxyglukóza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 xml:space="preserve">) je transportována přes buněčnou membránu podobným způsobem jako glukóza, ale prochází pouze prvním krokem glykolýzy při tvorbě </w:t>
      </w:r>
      <w:proofErr w:type="spellStart"/>
      <w:r w:rsidRPr="00D52650">
        <w:rPr>
          <w:sz w:val="22"/>
          <w:szCs w:val="22"/>
          <w:lang w:val="cs-CZ" w:eastAsia="sk-SK"/>
        </w:rPr>
        <w:t>fludeoxyglukózy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r w:rsidRPr="00D52650">
        <w:rPr>
          <w:sz w:val="22"/>
          <w:szCs w:val="22"/>
          <w:vertAlign w:val="superscript"/>
          <w:lang w:val="cs-CZ" w:eastAsia="sk-SK"/>
        </w:rPr>
        <w:t>18</w:t>
      </w:r>
      <w:proofErr w:type="gramStart"/>
      <w:r w:rsidRPr="00D52650">
        <w:rPr>
          <w:sz w:val="22"/>
          <w:szCs w:val="22"/>
          <w:lang w:val="cs-CZ" w:eastAsia="sk-SK"/>
        </w:rPr>
        <w:t>F)-6-fosfátu</w:t>
      </w:r>
      <w:proofErr w:type="gramEnd"/>
      <w:r w:rsidRPr="00D52650">
        <w:rPr>
          <w:sz w:val="22"/>
          <w:szCs w:val="22"/>
          <w:lang w:val="cs-CZ" w:eastAsia="sk-SK"/>
        </w:rPr>
        <w:t xml:space="preserve">, která zůstává v nádorové buňce a není dále metabolizována. Protože je následná defosforylace intracelulárními fosfáty pomalá, zůstává </w:t>
      </w:r>
      <w:proofErr w:type="spellStart"/>
      <w:r w:rsidRPr="00D52650">
        <w:rPr>
          <w:sz w:val="22"/>
          <w:szCs w:val="22"/>
          <w:lang w:val="cs-CZ" w:eastAsia="sk-SK"/>
        </w:rPr>
        <w:t>fludeoxyglukóza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r w:rsidRPr="00D52650">
        <w:rPr>
          <w:sz w:val="22"/>
          <w:szCs w:val="22"/>
          <w:vertAlign w:val="superscript"/>
          <w:lang w:val="cs-CZ" w:eastAsia="sk-SK"/>
        </w:rPr>
        <w:t>18</w:t>
      </w:r>
      <w:proofErr w:type="gramStart"/>
      <w:r w:rsidRPr="00D52650">
        <w:rPr>
          <w:sz w:val="22"/>
          <w:szCs w:val="22"/>
          <w:lang w:val="cs-CZ" w:eastAsia="sk-SK"/>
        </w:rPr>
        <w:t>F)-6-fosfát</w:t>
      </w:r>
      <w:proofErr w:type="gramEnd"/>
      <w:r w:rsidRPr="00D52650">
        <w:rPr>
          <w:sz w:val="22"/>
          <w:szCs w:val="22"/>
          <w:lang w:val="cs-CZ" w:eastAsia="sk-SK"/>
        </w:rPr>
        <w:t xml:space="preserve"> v tkáni po dobu několika hodin (mechanismus zachycení).</w:t>
      </w:r>
    </w:p>
    <w:p w14:paraId="65FEAD19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proofErr w:type="spellStart"/>
      <w:r w:rsidRPr="00D52650">
        <w:rPr>
          <w:sz w:val="22"/>
          <w:szCs w:val="22"/>
          <w:lang w:val="cs-CZ" w:eastAsia="sk-SK"/>
        </w:rPr>
        <w:t>Fludeoxyglukosa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prochází hematoencefalickou bariérou. Přibližně 7% podané dávky se</w:t>
      </w:r>
    </w:p>
    <w:p w14:paraId="76438C71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akumuluje v mozku během 80-100 minut po injekci. </w:t>
      </w:r>
      <w:proofErr w:type="spellStart"/>
      <w:r w:rsidRPr="00D52650">
        <w:rPr>
          <w:sz w:val="22"/>
          <w:szCs w:val="22"/>
          <w:lang w:val="cs-CZ" w:eastAsia="sk-SK"/>
        </w:rPr>
        <w:t>Epileptogenní</w:t>
      </w:r>
      <w:proofErr w:type="spellEnd"/>
      <w:r w:rsidRPr="00D52650">
        <w:rPr>
          <w:sz w:val="22"/>
          <w:szCs w:val="22"/>
          <w:lang w:val="cs-CZ" w:eastAsia="sk-SK"/>
        </w:rPr>
        <w:t xml:space="preserve"> ložiska vykazují nižší</w:t>
      </w:r>
    </w:p>
    <w:p w14:paraId="186FCEA1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>metabolismus glukózy ve fázích bez záchvatů.</w:t>
      </w:r>
    </w:p>
    <w:p w14:paraId="1456A878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>Asi 3 % aplikované aktivity</w:t>
      </w:r>
      <w:r>
        <w:rPr>
          <w:sz w:val="22"/>
          <w:szCs w:val="22"/>
          <w:lang w:val="cs-CZ" w:eastAsia="sk-SK"/>
        </w:rPr>
        <w:t xml:space="preserve"> </w:t>
      </w:r>
      <w:r w:rsidRPr="00D52650">
        <w:rPr>
          <w:sz w:val="22"/>
          <w:szCs w:val="22"/>
          <w:lang w:val="cs-CZ" w:eastAsia="sk-SK"/>
        </w:rPr>
        <w:t>je</w:t>
      </w:r>
      <w:r>
        <w:rPr>
          <w:sz w:val="22"/>
          <w:szCs w:val="22"/>
          <w:lang w:val="cs-CZ" w:eastAsia="sk-SK"/>
        </w:rPr>
        <w:t xml:space="preserve"> </w:t>
      </w:r>
      <w:r w:rsidRPr="00D52650">
        <w:rPr>
          <w:sz w:val="22"/>
          <w:szCs w:val="22"/>
          <w:lang w:val="cs-CZ" w:eastAsia="sk-SK"/>
        </w:rPr>
        <w:t>zachyceno</w:t>
      </w:r>
      <w:r>
        <w:rPr>
          <w:sz w:val="22"/>
          <w:szCs w:val="22"/>
          <w:lang w:val="cs-CZ" w:eastAsia="sk-SK"/>
        </w:rPr>
        <w:t xml:space="preserve"> </w:t>
      </w:r>
      <w:r w:rsidRPr="00D52650">
        <w:rPr>
          <w:sz w:val="22"/>
          <w:szCs w:val="22"/>
          <w:lang w:val="cs-CZ" w:eastAsia="sk-SK"/>
        </w:rPr>
        <w:t>v</w:t>
      </w:r>
      <w:r>
        <w:rPr>
          <w:sz w:val="22"/>
          <w:szCs w:val="22"/>
          <w:lang w:val="cs-CZ" w:eastAsia="sk-SK"/>
        </w:rPr>
        <w:t xml:space="preserve"> </w:t>
      </w:r>
      <w:r w:rsidRPr="00D52650">
        <w:rPr>
          <w:sz w:val="22"/>
          <w:szCs w:val="22"/>
          <w:lang w:val="cs-CZ" w:eastAsia="sk-SK"/>
        </w:rPr>
        <w:t>myokardu během</w:t>
      </w:r>
      <w:r>
        <w:rPr>
          <w:sz w:val="22"/>
          <w:szCs w:val="22"/>
          <w:lang w:val="cs-CZ" w:eastAsia="sk-SK"/>
        </w:rPr>
        <w:t xml:space="preserve"> </w:t>
      </w:r>
      <w:r w:rsidRPr="00D52650">
        <w:rPr>
          <w:sz w:val="22"/>
          <w:szCs w:val="22"/>
          <w:lang w:val="cs-CZ" w:eastAsia="sk-SK"/>
        </w:rPr>
        <w:t>40</w:t>
      </w:r>
      <w:r>
        <w:rPr>
          <w:sz w:val="22"/>
          <w:szCs w:val="22"/>
          <w:lang w:val="cs-CZ" w:eastAsia="sk-SK"/>
        </w:rPr>
        <w:t xml:space="preserve"> </w:t>
      </w:r>
      <w:r w:rsidRPr="00D52650">
        <w:rPr>
          <w:sz w:val="22"/>
          <w:szCs w:val="22"/>
          <w:lang w:val="cs-CZ" w:eastAsia="sk-SK"/>
        </w:rPr>
        <w:t xml:space="preserve">minut. Distribuce </w:t>
      </w:r>
      <w:proofErr w:type="spellStart"/>
      <w:r w:rsidRPr="00D52650">
        <w:rPr>
          <w:sz w:val="22"/>
          <w:szCs w:val="22"/>
          <w:lang w:val="cs-CZ" w:eastAsia="sk-SK"/>
        </w:rPr>
        <w:t>fludeoxyglukózy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v normálním srdci je hlavně homogenní, jsou však popsány regionální rozdíly až 15 % pro mezikomorové septum. Během a po reverzibilní myokardiální ischémii dochází ke zvýšenému vychytávání glukózy v myokardiální buňce.</w:t>
      </w:r>
    </w:p>
    <w:p w14:paraId="5B89BCFD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0,3 % a 0,9 – 2,4 % aplikované aktivity se akumuluje v pankreatu a plících. </w:t>
      </w:r>
    </w:p>
    <w:p w14:paraId="4E2414FE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proofErr w:type="spellStart"/>
      <w:r w:rsidRPr="00D52650">
        <w:rPr>
          <w:sz w:val="22"/>
          <w:szCs w:val="22"/>
          <w:lang w:val="cs-CZ" w:eastAsia="sk-SK"/>
        </w:rPr>
        <w:t>Fludeoxyglukóza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se také váže v menším rozsahu na oční sval, hltan a tenké střevo. Vazba na sval může být pozorována krátce po námaze a v případě svalové námahy během vyšetření.</w:t>
      </w:r>
    </w:p>
    <w:p w14:paraId="5946415E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</w:p>
    <w:p w14:paraId="77469EF8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Eliminace</w:t>
      </w:r>
    </w:p>
    <w:p w14:paraId="6B4D788B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Eliminace </w:t>
      </w:r>
      <w:proofErr w:type="spellStart"/>
      <w:r w:rsidRPr="00D52650">
        <w:rPr>
          <w:sz w:val="22"/>
          <w:szCs w:val="22"/>
          <w:lang w:val="cs-CZ" w:eastAsia="sk-SK"/>
        </w:rPr>
        <w:t>fludeoxyglukosy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probíhá hlavně v ledvinách, s 20 % aktivity vyloučené močí během dvou hodin po aplikaci injekce.</w:t>
      </w:r>
    </w:p>
    <w:p w14:paraId="16164E6E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Vazba na renální parenchym je slabá, ale z důvodu renální eliminace </w:t>
      </w:r>
      <w:proofErr w:type="spellStart"/>
      <w:r w:rsidRPr="00D52650">
        <w:rPr>
          <w:sz w:val="22"/>
          <w:szCs w:val="22"/>
          <w:lang w:val="cs-CZ" w:eastAsia="sk-SK"/>
        </w:rPr>
        <w:t>fludeoxyglukózy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má celý močový systém, zvláště močový měchýř, výraznou aktivitu.</w:t>
      </w:r>
    </w:p>
    <w:p w14:paraId="70CB9505" w14:textId="77777777" w:rsidR="00CB53DE" w:rsidRPr="00D52650" w:rsidRDefault="00CB53DE" w:rsidP="00CB53DE">
      <w:pPr>
        <w:ind w:left="705" w:hanging="705"/>
        <w:jc w:val="both"/>
        <w:rPr>
          <w:b/>
          <w:color w:val="000000"/>
          <w:sz w:val="22"/>
          <w:szCs w:val="22"/>
          <w:lang w:val="cs-CZ"/>
        </w:rPr>
      </w:pPr>
    </w:p>
    <w:p w14:paraId="4D20D076" w14:textId="77777777" w:rsidR="00CB53DE" w:rsidRPr="00D52650" w:rsidRDefault="00CB53DE" w:rsidP="00CB53DE">
      <w:pPr>
        <w:ind w:left="705" w:hanging="705"/>
        <w:jc w:val="both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5.3.</w:t>
      </w:r>
      <w:r w:rsidRPr="00D52650">
        <w:rPr>
          <w:b/>
          <w:color w:val="000000"/>
          <w:sz w:val="22"/>
          <w:szCs w:val="22"/>
          <w:lang w:val="cs-CZ"/>
        </w:rPr>
        <w:tab/>
      </w:r>
      <w:proofErr w:type="spellStart"/>
      <w:r w:rsidRPr="00D52650">
        <w:rPr>
          <w:b/>
          <w:color w:val="000000"/>
          <w:sz w:val="22"/>
          <w:szCs w:val="22"/>
          <w:lang w:val="cs-CZ"/>
        </w:rPr>
        <w:t>Předklinické</w:t>
      </w:r>
      <w:proofErr w:type="spellEnd"/>
      <w:r w:rsidRPr="00D52650">
        <w:rPr>
          <w:b/>
          <w:color w:val="000000"/>
          <w:sz w:val="22"/>
          <w:szCs w:val="22"/>
          <w:lang w:val="cs-CZ"/>
        </w:rPr>
        <w:t xml:space="preserve"> údaje vztahující se k bezpečnosti </w:t>
      </w:r>
    </w:p>
    <w:p w14:paraId="7EEA0B37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</w:p>
    <w:p w14:paraId="73BD40B4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Toxikologické studie ukázaly, že u jedné </w:t>
      </w:r>
      <w:proofErr w:type="spellStart"/>
      <w:r w:rsidRPr="00D52650">
        <w:rPr>
          <w:sz w:val="22"/>
          <w:szCs w:val="22"/>
          <w:lang w:val="cs-CZ" w:eastAsia="sk-SK"/>
        </w:rPr>
        <w:t>i.v</w:t>
      </w:r>
      <w:proofErr w:type="spellEnd"/>
      <w:r w:rsidRPr="00D52650">
        <w:rPr>
          <w:sz w:val="22"/>
          <w:szCs w:val="22"/>
          <w:lang w:val="cs-CZ" w:eastAsia="sk-SK"/>
        </w:rPr>
        <w:t xml:space="preserve">. injekce </w:t>
      </w:r>
      <w:proofErr w:type="spellStart"/>
      <w:r w:rsidRPr="00D52650">
        <w:rPr>
          <w:sz w:val="22"/>
          <w:szCs w:val="22"/>
          <w:lang w:val="cs-CZ" w:eastAsia="sk-SK"/>
        </w:rPr>
        <w:t>fluodeoxyglukózy</w:t>
      </w:r>
      <w:proofErr w:type="spellEnd"/>
      <w:r w:rsidRPr="00D52650">
        <w:rPr>
          <w:sz w:val="22"/>
          <w:szCs w:val="22"/>
          <w:lang w:val="cs-CZ" w:eastAsia="sk-SK"/>
        </w:rPr>
        <w:t xml:space="preserve"> (</w:t>
      </w:r>
      <w:proofErr w:type="gramStart"/>
      <w:r w:rsidRPr="00D52650">
        <w:rPr>
          <w:sz w:val="22"/>
          <w:szCs w:val="22"/>
          <w:vertAlign w:val="superscript"/>
          <w:lang w:val="cs-CZ" w:eastAsia="sk-SK"/>
        </w:rPr>
        <w:t>18</w:t>
      </w:r>
      <w:r w:rsidRPr="00D52650">
        <w:rPr>
          <w:sz w:val="22"/>
          <w:szCs w:val="22"/>
          <w:lang w:val="cs-CZ" w:eastAsia="sk-SK"/>
        </w:rPr>
        <w:t>F</w:t>
      </w:r>
      <w:proofErr w:type="gramEnd"/>
      <w:r w:rsidRPr="00D52650">
        <w:rPr>
          <w:sz w:val="22"/>
          <w:szCs w:val="22"/>
          <w:lang w:val="cs-CZ" w:eastAsia="sk-SK"/>
        </w:rPr>
        <w:t>) a s dávkou 50krát vyšší než u člověka, která byla podaná psům a 1000krát vyšší než u člověka, která byla podaná myším, nebyla pozorována žádná úmrtí. Tato látka není určena pro pravidelné nebo kontinuální podávání.</w:t>
      </w:r>
    </w:p>
    <w:p w14:paraId="3E681FD1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Studie mutagenity a chronické </w:t>
      </w:r>
      <w:proofErr w:type="spellStart"/>
      <w:r w:rsidRPr="00D52650">
        <w:rPr>
          <w:sz w:val="22"/>
          <w:szCs w:val="22"/>
          <w:lang w:val="cs-CZ" w:eastAsia="sk-SK"/>
        </w:rPr>
        <w:t>kancerogenity</w:t>
      </w:r>
      <w:proofErr w:type="spellEnd"/>
      <w:r w:rsidRPr="00D52650">
        <w:rPr>
          <w:sz w:val="22"/>
          <w:szCs w:val="22"/>
          <w:lang w:val="cs-CZ" w:eastAsia="sk-SK"/>
        </w:rPr>
        <w:t xml:space="preserve"> nebyly provedeny.</w:t>
      </w:r>
    </w:p>
    <w:p w14:paraId="3B997A74" w14:textId="77777777" w:rsidR="00CB53DE" w:rsidRPr="00D52650" w:rsidRDefault="00CB53DE" w:rsidP="00CB53DE">
      <w:pPr>
        <w:pStyle w:val="Textvysvetlivky"/>
        <w:tabs>
          <w:tab w:val="clear" w:pos="567"/>
          <w:tab w:val="left" w:pos="0"/>
          <w:tab w:val="left" w:pos="360"/>
        </w:tabs>
        <w:spacing w:before="0" w:after="0"/>
        <w:ind w:left="0" w:firstLine="0"/>
        <w:rPr>
          <w:color w:val="000000"/>
          <w:szCs w:val="22"/>
          <w:highlight w:val="yellow"/>
          <w:lang w:val="cs-CZ"/>
        </w:rPr>
      </w:pPr>
    </w:p>
    <w:p w14:paraId="09FB92B4" w14:textId="77777777" w:rsidR="00CB53DE" w:rsidRDefault="00CB53DE" w:rsidP="00CB53DE">
      <w:pPr>
        <w:jc w:val="both"/>
        <w:rPr>
          <w:b/>
          <w:caps/>
          <w:color w:val="000000"/>
          <w:sz w:val="22"/>
          <w:szCs w:val="22"/>
          <w:lang w:val="cs-CZ"/>
        </w:rPr>
      </w:pPr>
    </w:p>
    <w:p w14:paraId="1337BFB6" w14:textId="77777777" w:rsidR="00CB53DE" w:rsidRPr="00D52650" w:rsidRDefault="00CB53DE" w:rsidP="00CB53DE">
      <w:pPr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6.</w:t>
      </w:r>
      <w:r w:rsidRPr="00D52650">
        <w:rPr>
          <w:b/>
          <w:caps/>
          <w:color w:val="000000"/>
          <w:sz w:val="22"/>
          <w:szCs w:val="22"/>
          <w:lang w:val="cs-CZ"/>
        </w:rPr>
        <w:tab/>
      </w:r>
      <w:r w:rsidRPr="00D52650">
        <w:rPr>
          <w:b/>
          <w:sz w:val="22"/>
          <w:szCs w:val="22"/>
          <w:lang w:val="cs-CZ"/>
        </w:rPr>
        <w:t>FARMACEUTICKÉ</w:t>
      </w:r>
      <w:r>
        <w:rPr>
          <w:b/>
          <w:sz w:val="22"/>
          <w:szCs w:val="22"/>
          <w:lang w:val="cs-CZ"/>
        </w:rPr>
        <w:t xml:space="preserve"> </w:t>
      </w:r>
      <w:r w:rsidRPr="00D52650">
        <w:rPr>
          <w:b/>
          <w:sz w:val="22"/>
          <w:szCs w:val="22"/>
          <w:lang w:val="cs-CZ"/>
        </w:rPr>
        <w:t>ÚDAJE</w:t>
      </w:r>
    </w:p>
    <w:p w14:paraId="5CC2650F" w14:textId="77777777" w:rsidR="00CB53DE" w:rsidRPr="00D52650" w:rsidRDefault="00CB53DE" w:rsidP="00CB53DE">
      <w:pPr>
        <w:jc w:val="both"/>
        <w:rPr>
          <w:b/>
          <w:caps/>
          <w:color w:val="000000"/>
          <w:sz w:val="22"/>
          <w:szCs w:val="22"/>
          <w:lang w:val="cs-CZ"/>
        </w:rPr>
      </w:pPr>
    </w:p>
    <w:p w14:paraId="28ABD647" w14:textId="77777777" w:rsidR="00CB53DE" w:rsidRPr="00D52650" w:rsidRDefault="00CB53DE" w:rsidP="00CB53DE">
      <w:pPr>
        <w:ind w:left="705" w:hanging="705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6.1.</w:t>
      </w:r>
      <w:r w:rsidRPr="00D52650">
        <w:rPr>
          <w:b/>
          <w:color w:val="000000"/>
          <w:sz w:val="22"/>
          <w:szCs w:val="22"/>
          <w:lang w:val="cs-CZ"/>
        </w:rPr>
        <w:tab/>
        <w:t>Seznam pomocných látek</w:t>
      </w:r>
    </w:p>
    <w:p w14:paraId="634835DC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6447317B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bookmarkStart w:id="0" w:name="_Hlk482779515"/>
      <w:r w:rsidRPr="00D52650">
        <w:rPr>
          <w:color w:val="000000"/>
          <w:sz w:val="22"/>
          <w:szCs w:val="22"/>
          <w:lang w:val="cs-CZ"/>
        </w:rPr>
        <w:t>Chlorid sodný</w:t>
      </w:r>
    </w:p>
    <w:p w14:paraId="1A421F7E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Voda na injekci</w:t>
      </w:r>
    </w:p>
    <w:p w14:paraId="75BED626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proofErr w:type="spellStart"/>
      <w:r w:rsidRPr="00D52650">
        <w:rPr>
          <w:color w:val="000000"/>
          <w:sz w:val="22"/>
          <w:szCs w:val="22"/>
          <w:lang w:val="cs-CZ"/>
        </w:rPr>
        <w:t>Seskvihydrát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hydrogen-citronanu sodného</w:t>
      </w:r>
    </w:p>
    <w:p w14:paraId="352A648B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Dihydrát natrium-citrátu</w:t>
      </w:r>
    </w:p>
    <w:p w14:paraId="36600256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Chlorid sodný 0,9%</w:t>
      </w:r>
    </w:p>
    <w:p w14:paraId="1C466EEB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 w:eastAsia="sk-SK"/>
        </w:rPr>
        <w:lastRenderedPageBreak/>
        <w:t>Bezvodý ethanol</w:t>
      </w:r>
    </w:p>
    <w:bookmarkEnd w:id="0"/>
    <w:p w14:paraId="5519E065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5CC27747" w14:textId="77777777" w:rsidR="00CB53DE" w:rsidRPr="00D52650" w:rsidRDefault="00CB53DE" w:rsidP="00CB53DE">
      <w:pPr>
        <w:ind w:left="705" w:hanging="705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6.2.</w:t>
      </w:r>
      <w:r w:rsidRPr="00D52650">
        <w:rPr>
          <w:b/>
          <w:color w:val="000000"/>
          <w:sz w:val="22"/>
          <w:szCs w:val="22"/>
          <w:lang w:val="cs-CZ"/>
        </w:rPr>
        <w:tab/>
        <w:t xml:space="preserve">Inkompatibility </w:t>
      </w:r>
    </w:p>
    <w:p w14:paraId="2B66D0E9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226946A0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Tento léčivý přípravek se nesmí míchat s jinými léčivými přípravky, kromě přípravků uvedených v bodu 12.</w:t>
      </w:r>
    </w:p>
    <w:p w14:paraId="3BC722A5" w14:textId="77777777" w:rsidR="00CB53DE" w:rsidRPr="00D52650" w:rsidRDefault="00CB53DE" w:rsidP="00CB53DE">
      <w:pPr>
        <w:rPr>
          <w:color w:val="000000"/>
          <w:sz w:val="22"/>
          <w:szCs w:val="22"/>
          <w:highlight w:val="yellow"/>
          <w:lang w:val="cs-CZ"/>
        </w:rPr>
      </w:pPr>
    </w:p>
    <w:p w14:paraId="6188E875" w14:textId="77777777" w:rsidR="00CB53DE" w:rsidRPr="00D52650" w:rsidRDefault="00CB53DE" w:rsidP="00CB53DE">
      <w:pPr>
        <w:ind w:left="705" w:hanging="705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6.3.</w:t>
      </w:r>
      <w:r w:rsidRPr="00D52650">
        <w:rPr>
          <w:b/>
          <w:color w:val="000000"/>
          <w:sz w:val="22"/>
          <w:szCs w:val="22"/>
          <w:lang w:val="cs-CZ"/>
        </w:rPr>
        <w:tab/>
        <w:t>Doba použitelnosti</w:t>
      </w:r>
    </w:p>
    <w:p w14:paraId="5C4ACC82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3C9488AB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 xml:space="preserve">Přípravek </w:t>
      </w:r>
      <w:proofErr w:type="spellStart"/>
      <w:r w:rsidRPr="00D52650">
        <w:rPr>
          <w:sz w:val="22"/>
          <w:szCs w:val="22"/>
          <w:lang w:val="cs-CZ"/>
        </w:rPr>
        <w:t>Fludeoxyglucose</w:t>
      </w:r>
      <w:proofErr w:type="spellEnd"/>
      <w:r w:rsidRPr="00D52650">
        <w:rPr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sz w:val="22"/>
          <w:szCs w:val="22"/>
          <w:lang w:val="cs-CZ"/>
        </w:rPr>
        <w:t>) Biont je možné použít 13 hodin od data a času konce syntézy uvedených v certifikátu o propuštění šarže.</w:t>
      </w:r>
    </w:p>
    <w:p w14:paraId="294BE21D" w14:textId="77777777" w:rsidR="00CB53DE" w:rsidRPr="00D52650" w:rsidRDefault="00CB53DE" w:rsidP="00CB53DE">
      <w:pPr>
        <w:rPr>
          <w:color w:val="000000"/>
          <w:sz w:val="22"/>
          <w:szCs w:val="22"/>
          <w:highlight w:val="yellow"/>
          <w:lang w:val="cs-CZ"/>
        </w:rPr>
      </w:pPr>
    </w:p>
    <w:p w14:paraId="5F2E2BC7" w14:textId="77777777" w:rsidR="00CB53DE" w:rsidRPr="00D52650" w:rsidRDefault="00CB53DE" w:rsidP="00CB53DE">
      <w:pPr>
        <w:ind w:left="705" w:hanging="705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6.4.</w:t>
      </w:r>
      <w:r w:rsidRPr="00D52650">
        <w:rPr>
          <w:b/>
          <w:color w:val="000000"/>
          <w:sz w:val="22"/>
          <w:szCs w:val="22"/>
          <w:lang w:val="cs-CZ"/>
        </w:rPr>
        <w:tab/>
        <w:t>Zvláštní opatření pro uchovávání</w:t>
      </w:r>
    </w:p>
    <w:p w14:paraId="095268CF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398B75D0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Přípravek by měl být uchováván při teplotě do 25 ºC v původním obalu.</w:t>
      </w:r>
    </w:p>
    <w:p w14:paraId="36337146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Uchovávaní radiofarmak musí být v souladu s národními požadavky týkajícími se radioaktivních látek.</w:t>
      </w:r>
    </w:p>
    <w:p w14:paraId="6E8D538F" w14:textId="77777777" w:rsidR="00CB53DE" w:rsidRPr="00D52650" w:rsidRDefault="00CB53DE" w:rsidP="00CB53DE">
      <w:pPr>
        <w:rPr>
          <w:sz w:val="22"/>
          <w:szCs w:val="22"/>
          <w:highlight w:val="yellow"/>
          <w:lang w:val="cs-CZ"/>
        </w:rPr>
      </w:pPr>
    </w:p>
    <w:p w14:paraId="3ECB7994" w14:textId="77777777" w:rsidR="00CB53DE" w:rsidRPr="00D52650" w:rsidRDefault="00CB53DE" w:rsidP="00CB53DE">
      <w:pPr>
        <w:ind w:left="705" w:hanging="705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6.5.</w:t>
      </w:r>
      <w:r w:rsidRPr="00D52650">
        <w:rPr>
          <w:b/>
          <w:color w:val="000000"/>
          <w:sz w:val="22"/>
          <w:szCs w:val="22"/>
          <w:lang w:val="cs-CZ"/>
        </w:rPr>
        <w:tab/>
        <w:t>Druh obalu a velikost balení</w:t>
      </w:r>
    </w:p>
    <w:p w14:paraId="1F03FA82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76AE1B99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proofErr w:type="spellStart"/>
      <w:r w:rsidRPr="00D52650">
        <w:rPr>
          <w:sz w:val="22"/>
          <w:szCs w:val="22"/>
          <w:lang w:val="cs-CZ"/>
        </w:rPr>
        <w:t>Vícedávková</w:t>
      </w:r>
      <w:proofErr w:type="spellEnd"/>
      <w:r w:rsidRPr="00D52650">
        <w:rPr>
          <w:sz w:val="22"/>
          <w:szCs w:val="22"/>
          <w:lang w:val="cs-CZ"/>
        </w:rPr>
        <w:t xml:space="preserve">, bezbarvá injekční lahvička o objemu maximálně 19 ml vyrobená z neutrálního skla typu I dle Evropského lékopisu uzavřená </w:t>
      </w:r>
      <w:proofErr w:type="spellStart"/>
      <w:r w:rsidRPr="00D52650">
        <w:rPr>
          <w:sz w:val="22"/>
          <w:szCs w:val="22"/>
          <w:lang w:val="cs-CZ"/>
        </w:rPr>
        <w:t>chlorobutylovou</w:t>
      </w:r>
      <w:proofErr w:type="spellEnd"/>
      <w:r w:rsidRPr="00D52650">
        <w:rPr>
          <w:sz w:val="22"/>
          <w:szCs w:val="22"/>
          <w:lang w:val="cs-CZ"/>
        </w:rPr>
        <w:t xml:space="preserve"> zátkou s hliníkovým uzávěrem.</w:t>
      </w:r>
    </w:p>
    <w:p w14:paraId="1065BCA3" w14:textId="77777777" w:rsidR="00CB53DE" w:rsidRPr="00D52650" w:rsidRDefault="00CB53DE" w:rsidP="00CB53DE">
      <w:pPr>
        <w:jc w:val="both"/>
        <w:rPr>
          <w:color w:val="000000"/>
          <w:sz w:val="22"/>
          <w:szCs w:val="22"/>
          <w:highlight w:val="yellow"/>
          <w:lang w:val="cs-CZ"/>
        </w:rPr>
      </w:pPr>
      <w:r w:rsidRPr="00D52650">
        <w:rPr>
          <w:sz w:val="22"/>
          <w:szCs w:val="22"/>
          <w:lang w:val="cs-CZ"/>
        </w:rPr>
        <w:t xml:space="preserve">Jedna injekční lahvička obsahuje 0,2 až 10 ml roztoku, což odpovídá </w:t>
      </w:r>
      <w:proofErr w:type="gramStart"/>
      <w:r w:rsidRPr="00D52650">
        <w:rPr>
          <w:sz w:val="22"/>
          <w:szCs w:val="22"/>
          <w:lang w:val="cs-CZ"/>
        </w:rPr>
        <w:t>200 – 2200</w:t>
      </w:r>
      <w:proofErr w:type="gramEnd"/>
      <w:r w:rsidRPr="00D52650">
        <w:rPr>
          <w:sz w:val="22"/>
          <w:szCs w:val="22"/>
          <w:lang w:val="cs-CZ"/>
        </w:rPr>
        <w:t xml:space="preserve"> </w:t>
      </w:r>
      <w:proofErr w:type="spellStart"/>
      <w:r w:rsidRPr="00D52650">
        <w:rPr>
          <w:sz w:val="22"/>
          <w:szCs w:val="22"/>
          <w:lang w:val="cs-CZ"/>
        </w:rPr>
        <w:t>MBq</w:t>
      </w:r>
      <w:proofErr w:type="spellEnd"/>
      <w:r w:rsidRPr="00D52650">
        <w:rPr>
          <w:sz w:val="22"/>
          <w:szCs w:val="22"/>
          <w:lang w:val="cs-CZ"/>
        </w:rPr>
        <w:t xml:space="preserve">/ml v čase kalibrace </w:t>
      </w:r>
      <w:r w:rsidRPr="00D52650">
        <w:rPr>
          <w:color w:val="000000"/>
          <w:sz w:val="22"/>
          <w:szCs w:val="22"/>
          <w:lang w:val="cs-CZ"/>
        </w:rPr>
        <w:t>(t</w:t>
      </w:r>
      <w:r w:rsidRPr="00D52650">
        <w:rPr>
          <w:color w:val="000000"/>
          <w:sz w:val="22"/>
          <w:szCs w:val="22"/>
          <w:vertAlign w:val="subscript"/>
          <w:lang w:val="cs-CZ"/>
        </w:rPr>
        <w:t>0</w:t>
      </w:r>
      <w:r w:rsidRPr="00D52650">
        <w:rPr>
          <w:color w:val="000000"/>
          <w:sz w:val="22"/>
          <w:szCs w:val="22"/>
          <w:lang w:val="cs-CZ"/>
        </w:rPr>
        <w:t xml:space="preserve"> + </w:t>
      </w:r>
      <w:proofErr w:type="gramStart"/>
      <w:r w:rsidRPr="00D52650">
        <w:rPr>
          <w:color w:val="000000"/>
          <w:sz w:val="22"/>
          <w:szCs w:val="22"/>
          <w:lang w:val="cs-CZ"/>
        </w:rPr>
        <w:t>4h</w:t>
      </w:r>
      <w:proofErr w:type="gramEnd"/>
      <w:r w:rsidRPr="00D52650">
        <w:rPr>
          <w:color w:val="000000"/>
          <w:sz w:val="22"/>
          <w:szCs w:val="22"/>
          <w:lang w:val="cs-CZ"/>
        </w:rPr>
        <w:t>)</w:t>
      </w:r>
      <w:r w:rsidRPr="00D52650">
        <w:rPr>
          <w:sz w:val="22"/>
          <w:szCs w:val="22"/>
          <w:lang w:val="cs-CZ"/>
        </w:rPr>
        <w:t>.</w:t>
      </w:r>
    </w:p>
    <w:p w14:paraId="2A027D07" w14:textId="77777777" w:rsidR="00CB53DE" w:rsidRPr="00D52650" w:rsidRDefault="00CB53DE" w:rsidP="00CB53DE">
      <w:pPr>
        <w:rPr>
          <w:color w:val="000000"/>
          <w:sz w:val="22"/>
          <w:szCs w:val="22"/>
          <w:highlight w:val="yellow"/>
          <w:lang w:val="cs-CZ"/>
        </w:rPr>
      </w:pPr>
    </w:p>
    <w:p w14:paraId="3C8337C8" w14:textId="77777777" w:rsidR="00CB53DE" w:rsidRPr="00D52650" w:rsidRDefault="00CB53DE" w:rsidP="00CB53DE">
      <w:pPr>
        <w:ind w:left="705" w:hanging="705"/>
        <w:rPr>
          <w:b/>
          <w:color w:val="000000"/>
          <w:sz w:val="22"/>
          <w:szCs w:val="22"/>
          <w:lang w:val="cs-CZ"/>
        </w:rPr>
      </w:pPr>
      <w:r w:rsidRPr="00D52650">
        <w:rPr>
          <w:b/>
          <w:color w:val="000000"/>
          <w:sz w:val="22"/>
          <w:szCs w:val="22"/>
          <w:lang w:val="cs-CZ"/>
        </w:rPr>
        <w:t>6.6.</w:t>
      </w:r>
      <w:r w:rsidRPr="00D52650">
        <w:rPr>
          <w:b/>
          <w:color w:val="000000"/>
          <w:sz w:val="22"/>
          <w:szCs w:val="22"/>
          <w:lang w:val="cs-CZ"/>
        </w:rPr>
        <w:tab/>
        <w:t xml:space="preserve">Zvláštní opatření pro likvidaci a </w:t>
      </w:r>
      <w:r w:rsidRPr="00D52650">
        <w:rPr>
          <w:b/>
          <w:noProof/>
          <w:sz w:val="22"/>
          <w:lang w:val="cs-CZ" w:eastAsia="cs-CZ" w:bidi="cs-CZ"/>
        </w:rPr>
        <w:t>a pro zacházení s ním</w:t>
      </w:r>
    </w:p>
    <w:p w14:paraId="10FFBD04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3E02EF43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Kontejner musí být před použitím zkontrolován a aktivita musí být změřena pomocí kalibrátoru.</w:t>
      </w:r>
    </w:p>
    <w:p w14:paraId="11A1A8A5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Léčivý přípravek může být naředěn injekčním roztokem chloridu sodného 9 mg/ml (</w:t>
      </w:r>
      <w:proofErr w:type="gramStart"/>
      <w:r w:rsidRPr="00D52650">
        <w:rPr>
          <w:sz w:val="22"/>
          <w:szCs w:val="22"/>
          <w:lang w:val="cs-CZ"/>
        </w:rPr>
        <w:t>0,9%</w:t>
      </w:r>
      <w:proofErr w:type="gramEnd"/>
      <w:r w:rsidRPr="00D52650">
        <w:rPr>
          <w:sz w:val="22"/>
          <w:szCs w:val="22"/>
          <w:lang w:val="cs-CZ"/>
        </w:rPr>
        <w:t>).</w:t>
      </w:r>
    </w:p>
    <w:p w14:paraId="01CF8A7A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Natažení roztoku musí být provedeno za aseptických podmínek. Injekční lahvičky nesmí být otevřeny před dezinfekci zátky, roztok by měl být natažen přes zátku pomocí injekční stříkačky</w:t>
      </w:r>
    </w:p>
    <w:p w14:paraId="12001735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na jednu dávku s vhodným ochranným krytím a pomocí sterilní jehly na jedno použití.</w:t>
      </w:r>
    </w:p>
    <w:p w14:paraId="2886F82A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Roztok musí být před použitím vizuálně zkontrolován. Používat se smí pouze čirý roztok bez viditelných částic.</w:t>
      </w:r>
    </w:p>
    <w:p w14:paraId="5CEB3EAB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 xml:space="preserve">Podání radiofarmaka vytváří riziko pro další osoby v důsledku externího ozáření nebo kontaminace při vylití moči, </w:t>
      </w:r>
      <w:proofErr w:type="gramStart"/>
      <w:r w:rsidRPr="00D52650">
        <w:rPr>
          <w:sz w:val="22"/>
          <w:szCs w:val="22"/>
          <w:lang w:val="cs-CZ"/>
        </w:rPr>
        <w:t>zvratků,</w:t>
      </w:r>
      <w:proofErr w:type="gramEnd"/>
      <w:r w:rsidRPr="00D52650">
        <w:rPr>
          <w:sz w:val="22"/>
          <w:szCs w:val="22"/>
          <w:lang w:val="cs-CZ"/>
        </w:rPr>
        <w:t xml:space="preserve"> atd. Musí </w:t>
      </w:r>
      <w:proofErr w:type="gramStart"/>
      <w:r w:rsidRPr="00D52650">
        <w:rPr>
          <w:sz w:val="22"/>
          <w:szCs w:val="22"/>
          <w:lang w:val="cs-CZ"/>
        </w:rPr>
        <w:t>být</w:t>
      </w:r>
      <w:proofErr w:type="gramEnd"/>
      <w:r w:rsidRPr="00D52650">
        <w:rPr>
          <w:sz w:val="22"/>
          <w:szCs w:val="22"/>
          <w:lang w:val="cs-CZ"/>
        </w:rPr>
        <w:t xml:space="preserve"> proto učiněna opatření pro radiační ochranu v souladu s národními předpisy. </w:t>
      </w:r>
    </w:p>
    <w:p w14:paraId="47D0170A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1510AA36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Všechen nepoužitý přípravek nebo</w:t>
      </w:r>
      <w:r w:rsidRPr="00D52650">
        <w:rPr>
          <w:b/>
          <w:color w:val="000000"/>
          <w:sz w:val="22"/>
          <w:szCs w:val="22"/>
          <w:lang w:val="cs-CZ"/>
        </w:rPr>
        <w:t xml:space="preserve"> </w:t>
      </w:r>
      <w:r w:rsidRPr="00D52650">
        <w:rPr>
          <w:sz w:val="22"/>
          <w:szCs w:val="22"/>
          <w:lang w:val="cs-CZ"/>
        </w:rPr>
        <w:t xml:space="preserve">radioaktivní odpad musí být zlikvidován v souladu s příslušnými národními předpisy. </w:t>
      </w:r>
    </w:p>
    <w:p w14:paraId="3B5E8959" w14:textId="77777777" w:rsidR="00CB53DE" w:rsidRDefault="00CB53DE" w:rsidP="00CB53DE">
      <w:pPr>
        <w:rPr>
          <w:color w:val="000000"/>
          <w:sz w:val="22"/>
          <w:szCs w:val="22"/>
          <w:highlight w:val="yellow"/>
          <w:lang w:val="cs-CZ"/>
        </w:rPr>
      </w:pPr>
    </w:p>
    <w:p w14:paraId="34C7E9DC" w14:textId="77777777" w:rsidR="00CB53DE" w:rsidRPr="00D52650" w:rsidRDefault="00CB53DE" w:rsidP="00CB53DE">
      <w:pPr>
        <w:rPr>
          <w:color w:val="000000"/>
          <w:sz w:val="22"/>
          <w:szCs w:val="22"/>
          <w:highlight w:val="yellow"/>
          <w:lang w:val="cs-CZ"/>
        </w:rPr>
      </w:pPr>
    </w:p>
    <w:p w14:paraId="74635E2E" w14:textId="77777777" w:rsidR="00CB53DE" w:rsidRPr="00D52650" w:rsidRDefault="00CB53DE" w:rsidP="00CB53DE">
      <w:pPr>
        <w:tabs>
          <w:tab w:val="left" w:pos="360"/>
        </w:tabs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7.</w:t>
      </w:r>
      <w:r w:rsidRPr="00D52650">
        <w:rPr>
          <w:b/>
          <w:caps/>
          <w:color w:val="000000"/>
          <w:sz w:val="22"/>
          <w:szCs w:val="22"/>
          <w:lang w:val="cs-CZ"/>
        </w:rPr>
        <w:tab/>
        <w:t>DRŽITEL ROZHODNUTÍ O REGISTRACI</w:t>
      </w:r>
    </w:p>
    <w:p w14:paraId="232112EF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46E016FE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BIONT, a.s.</w:t>
      </w:r>
    </w:p>
    <w:p w14:paraId="1DDEE2A5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proofErr w:type="spellStart"/>
      <w:r w:rsidRPr="00D52650">
        <w:rPr>
          <w:sz w:val="22"/>
          <w:szCs w:val="22"/>
          <w:lang w:val="cs-CZ"/>
        </w:rPr>
        <w:t>Karloveská</w:t>
      </w:r>
      <w:proofErr w:type="spellEnd"/>
      <w:r w:rsidRPr="00D52650">
        <w:rPr>
          <w:sz w:val="22"/>
          <w:szCs w:val="22"/>
          <w:lang w:val="cs-CZ"/>
        </w:rPr>
        <w:t xml:space="preserve"> 63</w:t>
      </w:r>
    </w:p>
    <w:p w14:paraId="0AA99BA7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842 29 Bratislava</w:t>
      </w:r>
    </w:p>
    <w:p w14:paraId="27C502A0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Slovenská republika</w:t>
      </w:r>
    </w:p>
    <w:p w14:paraId="4C028D5D" w14:textId="77777777" w:rsidR="00CB53DE" w:rsidRPr="00D52650" w:rsidRDefault="00CB53DE" w:rsidP="00CB53DE">
      <w:pPr>
        <w:rPr>
          <w:bCs/>
          <w:color w:val="000000"/>
          <w:sz w:val="22"/>
          <w:szCs w:val="22"/>
          <w:lang w:val="cs-CZ"/>
        </w:rPr>
      </w:pPr>
      <w:r w:rsidRPr="00D52650">
        <w:rPr>
          <w:bCs/>
          <w:color w:val="000000"/>
          <w:sz w:val="22"/>
          <w:szCs w:val="22"/>
          <w:lang w:val="cs-CZ"/>
        </w:rPr>
        <w:t>Tel: +421 2 206 70 749</w:t>
      </w:r>
    </w:p>
    <w:p w14:paraId="18F60F71" w14:textId="77777777" w:rsidR="00CB53DE" w:rsidRPr="00D52650" w:rsidRDefault="00CB53DE" w:rsidP="00CB53DE">
      <w:pPr>
        <w:rPr>
          <w:bCs/>
          <w:color w:val="000000"/>
          <w:sz w:val="22"/>
          <w:szCs w:val="22"/>
          <w:lang w:val="cs-CZ"/>
        </w:rPr>
      </w:pPr>
      <w:r w:rsidRPr="00D52650">
        <w:rPr>
          <w:bCs/>
          <w:color w:val="000000"/>
          <w:sz w:val="22"/>
          <w:szCs w:val="22"/>
          <w:lang w:val="cs-CZ"/>
        </w:rPr>
        <w:t>Fax: +421 2 206 70 748</w:t>
      </w:r>
    </w:p>
    <w:p w14:paraId="32BB0FAF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bCs/>
          <w:color w:val="000000"/>
          <w:sz w:val="22"/>
          <w:szCs w:val="22"/>
          <w:lang w:val="cs-CZ"/>
        </w:rPr>
        <w:t>biont@biont.sk</w:t>
      </w:r>
    </w:p>
    <w:p w14:paraId="4D5577CD" w14:textId="77777777" w:rsidR="00CB53DE" w:rsidRPr="00D52650" w:rsidRDefault="00CB53DE" w:rsidP="00CB53DE">
      <w:pPr>
        <w:rPr>
          <w:color w:val="000000"/>
          <w:sz w:val="22"/>
          <w:szCs w:val="22"/>
          <w:highlight w:val="yellow"/>
          <w:lang w:val="cs-CZ"/>
        </w:rPr>
      </w:pPr>
    </w:p>
    <w:p w14:paraId="62E1DB65" w14:textId="77777777" w:rsidR="00CB53DE" w:rsidRPr="00D52650" w:rsidRDefault="00CB53DE" w:rsidP="00CB53DE">
      <w:pPr>
        <w:rPr>
          <w:color w:val="000000"/>
          <w:sz w:val="22"/>
          <w:szCs w:val="22"/>
          <w:highlight w:val="yellow"/>
          <w:lang w:val="cs-CZ"/>
        </w:rPr>
      </w:pPr>
    </w:p>
    <w:p w14:paraId="0DAAAF6D" w14:textId="77777777" w:rsidR="00CB53DE" w:rsidRPr="00D52650" w:rsidRDefault="00CB53DE" w:rsidP="00CB53DE">
      <w:pPr>
        <w:tabs>
          <w:tab w:val="left" w:pos="360"/>
        </w:tabs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8.</w:t>
      </w:r>
      <w:r w:rsidRPr="00D52650">
        <w:rPr>
          <w:b/>
          <w:caps/>
          <w:color w:val="000000"/>
          <w:sz w:val="22"/>
          <w:szCs w:val="22"/>
          <w:lang w:val="cs-CZ"/>
        </w:rPr>
        <w:tab/>
        <w:t>REGISTRAČNÍ ČÍSLO (ČÍSLA)</w:t>
      </w:r>
    </w:p>
    <w:p w14:paraId="68189421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11F7A449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>88/473/12-C</w:t>
      </w:r>
    </w:p>
    <w:p w14:paraId="64664661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42A6EA7A" w14:textId="77777777" w:rsidR="00CB53DE" w:rsidRPr="00D52650" w:rsidRDefault="00CB53DE" w:rsidP="00CB53DE">
      <w:pPr>
        <w:rPr>
          <w:color w:val="000000"/>
          <w:sz w:val="22"/>
          <w:szCs w:val="22"/>
          <w:lang w:val="cs-CZ"/>
        </w:rPr>
      </w:pPr>
    </w:p>
    <w:p w14:paraId="187E3219" w14:textId="77777777" w:rsidR="00CB53DE" w:rsidRPr="00D52650" w:rsidRDefault="00CB53DE" w:rsidP="00CB53DE">
      <w:pPr>
        <w:tabs>
          <w:tab w:val="left" w:pos="360"/>
        </w:tabs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9.</w:t>
      </w:r>
      <w:r w:rsidRPr="00D52650">
        <w:rPr>
          <w:b/>
          <w:caps/>
          <w:color w:val="000000"/>
          <w:sz w:val="22"/>
          <w:szCs w:val="22"/>
          <w:lang w:val="cs-CZ"/>
        </w:rPr>
        <w:tab/>
        <w:t>DATUM PRVNÍ REGISTRACE/PRODLOUŽENÍ REGISTRACE</w:t>
      </w:r>
    </w:p>
    <w:p w14:paraId="3C54B283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185125BB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15.8.2012 / 11.06.2014</w:t>
      </w:r>
    </w:p>
    <w:p w14:paraId="7C213E1D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2258CDCE" w14:textId="77777777" w:rsidR="00CB53DE" w:rsidRPr="00D52650" w:rsidRDefault="00CB53DE" w:rsidP="00CB53DE">
      <w:pPr>
        <w:tabs>
          <w:tab w:val="left" w:pos="360"/>
        </w:tabs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10.</w:t>
      </w:r>
      <w:r w:rsidRPr="00D52650">
        <w:rPr>
          <w:b/>
          <w:caps/>
          <w:color w:val="000000"/>
          <w:sz w:val="22"/>
          <w:szCs w:val="22"/>
          <w:lang w:val="cs-CZ"/>
        </w:rPr>
        <w:tab/>
        <w:t xml:space="preserve">DATUM REVIZE TEXTU </w:t>
      </w:r>
    </w:p>
    <w:p w14:paraId="43DC27A2" w14:textId="77777777" w:rsidR="00CB53DE" w:rsidRPr="00D52650" w:rsidRDefault="00CB53DE" w:rsidP="00CB53DE">
      <w:pPr>
        <w:rPr>
          <w:b/>
          <w:color w:val="000000"/>
          <w:sz w:val="22"/>
          <w:szCs w:val="22"/>
          <w:u w:val="single"/>
          <w:lang w:val="cs-CZ"/>
        </w:rPr>
      </w:pPr>
    </w:p>
    <w:p w14:paraId="6FE95CD9" w14:textId="77777777" w:rsidR="00CB53DE" w:rsidRPr="00D52650" w:rsidRDefault="00CB53DE" w:rsidP="00CB53DE">
      <w:pPr>
        <w:rPr>
          <w:color w:val="000000"/>
          <w:sz w:val="22"/>
          <w:szCs w:val="22"/>
          <w:u w:val="single"/>
          <w:lang w:val="cs-CZ"/>
        </w:rPr>
      </w:pPr>
      <w:r w:rsidRPr="00D52650">
        <w:rPr>
          <w:color w:val="000000"/>
          <w:sz w:val="22"/>
          <w:szCs w:val="22"/>
          <w:u w:val="single"/>
          <w:lang w:val="cs-CZ"/>
        </w:rPr>
        <w:t>13.05.2016</w:t>
      </w:r>
    </w:p>
    <w:p w14:paraId="669BD95B" w14:textId="77777777" w:rsidR="00CB53DE" w:rsidRPr="00D52650" w:rsidRDefault="00CB53DE" w:rsidP="00CB53DE">
      <w:pPr>
        <w:rPr>
          <w:b/>
          <w:color w:val="000000"/>
          <w:sz w:val="22"/>
          <w:szCs w:val="22"/>
          <w:u w:val="single"/>
          <w:lang w:val="cs-CZ"/>
        </w:rPr>
      </w:pPr>
    </w:p>
    <w:p w14:paraId="03EE60E3" w14:textId="77777777" w:rsidR="00CB53DE" w:rsidRPr="00D52650" w:rsidRDefault="00CB53DE" w:rsidP="00CB53DE">
      <w:pPr>
        <w:tabs>
          <w:tab w:val="left" w:pos="360"/>
        </w:tabs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11.</w:t>
      </w:r>
      <w:r w:rsidRPr="00D52650">
        <w:rPr>
          <w:b/>
          <w:caps/>
          <w:color w:val="000000"/>
          <w:sz w:val="22"/>
          <w:szCs w:val="22"/>
          <w:lang w:val="cs-CZ"/>
        </w:rPr>
        <w:tab/>
        <w:t>DOZIMETRICKÉ ÚDAJE</w:t>
      </w:r>
    </w:p>
    <w:p w14:paraId="6B079C5C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1E066298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</w:p>
    <w:p w14:paraId="76012DB8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 xml:space="preserve">Tabulka uvedená níže ukazuje dozimetrické údaje vypočtené podle ICRP 106 </w:t>
      </w:r>
      <w:proofErr w:type="spellStart"/>
      <w:r w:rsidRPr="00D52650">
        <w:rPr>
          <w:sz w:val="22"/>
          <w:szCs w:val="22"/>
          <w:lang w:val="cs-CZ"/>
        </w:rPr>
        <w:t>Publication</w:t>
      </w:r>
      <w:proofErr w:type="spellEnd"/>
      <w:r w:rsidRPr="00D52650">
        <w:rPr>
          <w:color w:val="000000"/>
          <w:sz w:val="22"/>
          <w:szCs w:val="22"/>
          <w:lang w:val="cs-CZ"/>
        </w:rPr>
        <w:t>.</w:t>
      </w:r>
    </w:p>
    <w:p w14:paraId="2643D725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tbl>
      <w:tblPr>
        <w:tblW w:w="10121" w:type="dxa"/>
        <w:tblBorders>
          <w:top w:val="single" w:sz="12" w:space="0" w:color="008000"/>
          <w:bottom w:val="single" w:sz="12" w:space="0" w:color="008000"/>
        </w:tblBorders>
        <w:tblLook w:val="0020" w:firstRow="1" w:lastRow="0" w:firstColumn="0" w:lastColumn="0" w:noHBand="0" w:noVBand="0"/>
      </w:tblPr>
      <w:tblGrid>
        <w:gridCol w:w="2088"/>
        <w:gridCol w:w="1606"/>
        <w:gridCol w:w="1606"/>
        <w:gridCol w:w="1607"/>
        <w:gridCol w:w="1607"/>
        <w:gridCol w:w="1607"/>
      </w:tblGrid>
      <w:tr w:rsidR="00CB53DE" w:rsidRPr="00D52650" w14:paraId="30A456CD" w14:textId="77777777" w:rsidTr="00F5352A">
        <w:tc>
          <w:tcPr>
            <w:tcW w:w="10121" w:type="dxa"/>
            <w:gridSpan w:val="6"/>
            <w:tcBorders>
              <w:bottom w:val="single" w:sz="6" w:space="0" w:color="008000"/>
            </w:tcBorders>
          </w:tcPr>
          <w:p w14:paraId="13A15E1E" w14:textId="77777777" w:rsidR="00CB53DE" w:rsidRPr="00D52650" w:rsidRDefault="00CB53DE" w:rsidP="00F5352A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cs-CZ"/>
              </w:rPr>
            </w:pPr>
            <w:r>
              <w:rPr>
                <w:b/>
                <w:color w:val="000000"/>
                <w:sz w:val="22"/>
                <w:szCs w:val="22"/>
                <w:lang w:val="cs-CZ"/>
              </w:rPr>
              <w:t xml:space="preserve">                   </w:t>
            </w:r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 xml:space="preserve"> Absorbovaná dávka na jednotku podané aktivity (</w:t>
            </w:r>
            <w:proofErr w:type="spellStart"/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mGy</w:t>
            </w:r>
            <w:proofErr w:type="spellEnd"/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/</w:t>
            </w:r>
            <w:proofErr w:type="spellStart"/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MBq</w:t>
            </w:r>
            <w:proofErr w:type="spellEnd"/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)</w:t>
            </w:r>
          </w:p>
        </w:tc>
      </w:tr>
      <w:tr w:rsidR="00CB53DE" w:rsidRPr="00D52650" w14:paraId="7667DDE5" w14:textId="77777777" w:rsidTr="00F5352A">
        <w:tc>
          <w:tcPr>
            <w:tcW w:w="2088" w:type="dxa"/>
          </w:tcPr>
          <w:p w14:paraId="2BA2CF44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b/>
                <w:bCs/>
                <w:color w:val="000000"/>
                <w:sz w:val="22"/>
                <w:szCs w:val="22"/>
                <w:lang w:val="cs-CZ"/>
              </w:rPr>
              <w:t>Orgán</w:t>
            </w:r>
          </w:p>
        </w:tc>
        <w:tc>
          <w:tcPr>
            <w:tcW w:w="1606" w:type="dxa"/>
          </w:tcPr>
          <w:p w14:paraId="1FF6208C" w14:textId="77777777" w:rsidR="00CB53DE" w:rsidRPr="00D52650" w:rsidRDefault="00CB53DE" w:rsidP="00F5352A">
            <w:pPr>
              <w:shd w:val="clear" w:color="auto" w:fill="FFFFFF"/>
              <w:jc w:val="center"/>
              <w:rPr>
                <w:sz w:val="22"/>
                <w:szCs w:val="22"/>
                <w:lang w:val="cs-CZ"/>
              </w:rPr>
            </w:pPr>
            <w:r w:rsidRPr="00D52650">
              <w:rPr>
                <w:b/>
                <w:bCs/>
                <w:color w:val="000000"/>
                <w:sz w:val="22"/>
                <w:szCs w:val="22"/>
                <w:lang w:val="cs-CZ"/>
              </w:rPr>
              <w:t>Dospělý</w:t>
            </w:r>
          </w:p>
        </w:tc>
        <w:tc>
          <w:tcPr>
            <w:tcW w:w="1606" w:type="dxa"/>
          </w:tcPr>
          <w:p w14:paraId="404B6138" w14:textId="77777777" w:rsidR="00CB53DE" w:rsidRPr="00D52650" w:rsidRDefault="00CB53DE" w:rsidP="00F5352A">
            <w:pPr>
              <w:shd w:val="clear" w:color="auto" w:fill="FFFFFF"/>
              <w:jc w:val="center"/>
              <w:rPr>
                <w:sz w:val="22"/>
                <w:szCs w:val="22"/>
                <w:lang w:val="cs-CZ"/>
              </w:rPr>
            </w:pPr>
            <w:r w:rsidRPr="00D52650">
              <w:rPr>
                <w:b/>
                <w:bCs/>
                <w:color w:val="000000"/>
                <w:spacing w:val="-1"/>
                <w:sz w:val="22"/>
                <w:szCs w:val="22"/>
                <w:lang w:val="cs-CZ"/>
              </w:rPr>
              <w:t>15 let</w:t>
            </w:r>
          </w:p>
        </w:tc>
        <w:tc>
          <w:tcPr>
            <w:tcW w:w="1607" w:type="dxa"/>
          </w:tcPr>
          <w:p w14:paraId="26DD6A53" w14:textId="77777777" w:rsidR="00CB53DE" w:rsidRPr="00D52650" w:rsidRDefault="00CB53DE" w:rsidP="00F5352A">
            <w:pPr>
              <w:shd w:val="clear" w:color="auto" w:fill="FFFFFF"/>
              <w:jc w:val="center"/>
              <w:rPr>
                <w:sz w:val="22"/>
                <w:szCs w:val="22"/>
                <w:lang w:val="cs-CZ"/>
              </w:rPr>
            </w:pPr>
            <w:r w:rsidRPr="00D52650">
              <w:rPr>
                <w:b/>
                <w:bCs/>
                <w:color w:val="000000"/>
                <w:spacing w:val="-2"/>
                <w:sz w:val="22"/>
                <w:szCs w:val="22"/>
                <w:lang w:val="cs-CZ"/>
              </w:rPr>
              <w:t>10 let</w:t>
            </w:r>
          </w:p>
        </w:tc>
        <w:tc>
          <w:tcPr>
            <w:tcW w:w="1607" w:type="dxa"/>
          </w:tcPr>
          <w:p w14:paraId="1744C8D9" w14:textId="77777777" w:rsidR="00CB53DE" w:rsidRPr="00D52650" w:rsidRDefault="00CB53DE" w:rsidP="00F5352A">
            <w:pPr>
              <w:shd w:val="clear" w:color="auto" w:fill="FFFFFF"/>
              <w:jc w:val="center"/>
              <w:rPr>
                <w:sz w:val="22"/>
                <w:szCs w:val="22"/>
                <w:lang w:val="cs-CZ"/>
              </w:rPr>
            </w:pPr>
            <w:r w:rsidRPr="00D52650">
              <w:rPr>
                <w:b/>
                <w:bCs/>
                <w:color w:val="000000"/>
                <w:sz w:val="22"/>
                <w:szCs w:val="22"/>
                <w:lang w:val="cs-CZ"/>
              </w:rPr>
              <w:t>5 let</w:t>
            </w:r>
          </w:p>
        </w:tc>
        <w:tc>
          <w:tcPr>
            <w:tcW w:w="1607" w:type="dxa"/>
          </w:tcPr>
          <w:p w14:paraId="44D9E661" w14:textId="77777777" w:rsidR="00CB53DE" w:rsidRPr="00D52650" w:rsidRDefault="00CB53DE" w:rsidP="00F5352A">
            <w:pPr>
              <w:shd w:val="clear" w:color="auto" w:fill="FFFFFF"/>
              <w:jc w:val="center"/>
              <w:rPr>
                <w:sz w:val="22"/>
                <w:szCs w:val="22"/>
                <w:lang w:val="cs-CZ"/>
              </w:rPr>
            </w:pPr>
            <w:r w:rsidRPr="00D52650">
              <w:rPr>
                <w:b/>
                <w:bCs/>
                <w:color w:val="000000"/>
                <w:sz w:val="22"/>
                <w:szCs w:val="22"/>
                <w:lang w:val="cs-CZ"/>
              </w:rPr>
              <w:t>1 rok</w:t>
            </w:r>
          </w:p>
        </w:tc>
      </w:tr>
      <w:tr w:rsidR="00CB53DE" w:rsidRPr="00D52650" w14:paraId="62FBB98B" w14:textId="77777777" w:rsidTr="00F5352A">
        <w:tc>
          <w:tcPr>
            <w:tcW w:w="2088" w:type="dxa"/>
          </w:tcPr>
          <w:p w14:paraId="09B87F0C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pacing w:val="-2"/>
                <w:sz w:val="22"/>
                <w:szCs w:val="22"/>
                <w:lang w:val="cs-CZ"/>
              </w:rPr>
              <w:t>Nadledvinky</w:t>
            </w:r>
          </w:p>
        </w:tc>
        <w:tc>
          <w:tcPr>
            <w:tcW w:w="1606" w:type="dxa"/>
          </w:tcPr>
          <w:p w14:paraId="05EEB5B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0,012</w:t>
            </w:r>
          </w:p>
        </w:tc>
        <w:tc>
          <w:tcPr>
            <w:tcW w:w="1606" w:type="dxa"/>
          </w:tcPr>
          <w:p w14:paraId="31BE1CD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0,016</w:t>
            </w:r>
          </w:p>
        </w:tc>
        <w:tc>
          <w:tcPr>
            <w:tcW w:w="1607" w:type="dxa"/>
          </w:tcPr>
          <w:p w14:paraId="6564A15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0,024</w:t>
            </w:r>
          </w:p>
        </w:tc>
        <w:tc>
          <w:tcPr>
            <w:tcW w:w="1607" w:type="dxa"/>
          </w:tcPr>
          <w:p w14:paraId="608E8CE0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0,039</w:t>
            </w:r>
          </w:p>
        </w:tc>
        <w:tc>
          <w:tcPr>
            <w:tcW w:w="1607" w:type="dxa"/>
          </w:tcPr>
          <w:p w14:paraId="57BF5A65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0,071</w:t>
            </w:r>
          </w:p>
        </w:tc>
      </w:tr>
      <w:tr w:rsidR="00CB53DE" w:rsidRPr="00D52650" w14:paraId="4971C242" w14:textId="77777777" w:rsidTr="00F5352A">
        <w:tc>
          <w:tcPr>
            <w:tcW w:w="2088" w:type="dxa"/>
          </w:tcPr>
          <w:p w14:paraId="6E09F611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Močový měchýř</w:t>
            </w:r>
          </w:p>
        </w:tc>
        <w:tc>
          <w:tcPr>
            <w:tcW w:w="1606" w:type="dxa"/>
          </w:tcPr>
          <w:p w14:paraId="0F31CB96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0,130</w:t>
            </w:r>
          </w:p>
        </w:tc>
        <w:tc>
          <w:tcPr>
            <w:tcW w:w="1606" w:type="dxa"/>
          </w:tcPr>
          <w:p w14:paraId="045BF211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0,160</w:t>
            </w:r>
          </w:p>
        </w:tc>
        <w:tc>
          <w:tcPr>
            <w:tcW w:w="1607" w:type="dxa"/>
          </w:tcPr>
          <w:p w14:paraId="56622EF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0,250</w:t>
            </w:r>
          </w:p>
        </w:tc>
        <w:tc>
          <w:tcPr>
            <w:tcW w:w="1607" w:type="dxa"/>
          </w:tcPr>
          <w:p w14:paraId="0FB0D42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0,340</w:t>
            </w:r>
          </w:p>
        </w:tc>
        <w:tc>
          <w:tcPr>
            <w:tcW w:w="1607" w:type="dxa"/>
          </w:tcPr>
          <w:p w14:paraId="0DC7EA3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0,470</w:t>
            </w:r>
          </w:p>
        </w:tc>
      </w:tr>
      <w:tr w:rsidR="00CB53DE" w:rsidRPr="00D52650" w14:paraId="73D594C4" w14:textId="77777777" w:rsidTr="00F5352A">
        <w:tc>
          <w:tcPr>
            <w:tcW w:w="2088" w:type="dxa"/>
          </w:tcPr>
          <w:p w14:paraId="2C363C3D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Povrchy kostí</w:t>
            </w:r>
          </w:p>
        </w:tc>
        <w:tc>
          <w:tcPr>
            <w:tcW w:w="1606" w:type="dxa"/>
          </w:tcPr>
          <w:p w14:paraId="37B1B6F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0,011</w:t>
            </w:r>
          </w:p>
        </w:tc>
        <w:tc>
          <w:tcPr>
            <w:tcW w:w="1606" w:type="dxa"/>
          </w:tcPr>
          <w:p w14:paraId="37C51485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0,014</w:t>
            </w:r>
          </w:p>
        </w:tc>
        <w:tc>
          <w:tcPr>
            <w:tcW w:w="1607" w:type="dxa"/>
          </w:tcPr>
          <w:p w14:paraId="1EB116A6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0,022</w:t>
            </w:r>
          </w:p>
        </w:tc>
        <w:tc>
          <w:tcPr>
            <w:tcW w:w="1607" w:type="dxa"/>
          </w:tcPr>
          <w:p w14:paraId="0ABE9A1A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0,034</w:t>
            </w:r>
          </w:p>
        </w:tc>
        <w:tc>
          <w:tcPr>
            <w:tcW w:w="1607" w:type="dxa"/>
          </w:tcPr>
          <w:p w14:paraId="4D2A88F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0,064</w:t>
            </w:r>
          </w:p>
        </w:tc>
      </w:tr>
      <w:tr w:rsidR="00CB53DE" w:rsidRPr="00D52650" w14:paraId="0A062F03" w14:textId="77777777" w:rsidTr="00F5352A">
        <w:tc>
          <w:tcPr>
            <w:tcW w:w="2088" w:type="dxa"/>
          </w:tcPr>
          <w:p w14:paraId="63B91B03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Mozek</w:t>
            </w:r>
          </w:p>
        </w:tc>
        <w:tc>
          <w:tcPr>
            <w:tcW w:w="1606" w:type="dxa"/>
          </w:tcPr>
          <w:p w14:paraId="4F4E2D0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0,038</w:t>
            </w:r>
          </w:p>
        </w:tc>
        <w:tc>
          <w:tcPr>
            <w:tcW w:w="1606" w:type="dxa"/>
          </w:tcPr>
          <w:p w14:paraId="0521ADA7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0,039</w:t>
            </w:r>
          </w:p>
        </w:tc>
        <w:tc>
          <w:tcPr>
            <w:tcW w:w="1607" w:type="dxa"/>
          </w:tcPr>
          <w:p w14:paraId="780F7FC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0,041</w:t>
            </w:r>
          </w:p>
        </w:tc>
        <w:tc>
          <w:tcPr>
            <w:tcW w:w="1607" w:type="dxa"/>
          </w:tcPr>
          <w:p w14:paraId="05A7257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0,046</w:t>
            </w:r>
          </w:p>
        </w:tc>
        <w:tc>
          <w:tcPr>
            <w:tcW w:w="1607" w:type="dxa"/>
          </w:tcPr>
          <w:p w14:paraId="7855AE21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0,063</w:t>
            </w:r>
          </w:p>
        </w:tc>
      </w:tr>
      <w:tr w:rsidR="00CB53DE" w:rsidRPr="00D52650" w14:paraId="291490BD" w14:textId="77777777" w:rsidTr="00F5352A">
        <w:tc>
          <w:tcPr>
            <w:tcW w:w="2088" w:type="dxa"/>
          </w:tcPr>
          <w:p w14:paraId="2A4645DB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Prsní žláza</w:t>
            </w:r>
          </w:p>
        </w:tc>
        <w:tc>
          <w:tcPr>
            <w:tcW w:w="1606" w:type="dxa"/>
          </w:tcPr>
          <w:p w14:paraId="64F2AC2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0,009</w:t>
            </w:r>
          </w:p>
        </w:tc>
        <w:tc>
          <w:tcPr>
            <w:tcW w:w="1606" w:type="dxa"/>
          </w:tcPr>
          <w:p w14:paraId="4CC2A2CA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0,011</w:t>
            </w:r>
          </w:p>
        </w:tc>
        <w:tc>
          <w:tcPr>
            <w:tcW w:w="1607" w:type="dxa"/>
          </w:tcPr>
          <w:p w14:paraId="61EC04A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0,018</w:t>
            </w:r>
          </w:p>
        </w:tc>
        <w:tc>
          <w:tcPr>
            <w:tcW w:w="1607" w:type="dxa"/>
          </w:tcPr>
          <w:p w14:paraId="367C9D9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0,029</w:t>
            </w:r>
          </w:p>
        </w:tc>
        <w:tc>
          <w:tcPr>
            <w:tcW w:w="1607" w:type="dxa"/>
          </w:tcPr>
          <w:p w14:paraId="65B698E6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0,056</w:t>
            </w:r>
          </w:p>
        </w:tc>
      </w:tr>
      <w:tr w:rsidR="00CB53DE" w:rsidRPr="00D52650" w14:paraId="1F64DA74" w14:textId="77777777" w:rsidTr="00F5352A">
        <w:tc>
          <w:tcPr>
            <w:tcW w:w="2088" w:type="dxa"/>
          </w:tcPr>
          <w:p w14:paraId="15016CB1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 xml:space="preserve">Žlučník </w:t>
            </w:r>
          </w:p>
        </w:tc>
        <w:tc>
          <w:tcPr>
            <w:tcW w:w="1606" w:type="dxa"/>
          </w:tcPr>
          <w:p w14:paraId="72B38775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0,013</w:t>
            </w:r>
          </w:p>
        </w:tc>
        <w:tc>
          <w:tcPr>
            <w:tcW w:w="1606" w:type="dxa"/>
          </w:tcPr>
          <w:p w14:paraId="6C608671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0,016</w:t>
            </w:r>
          </w:p>
        </w:tc>
        <w:tc>
          <w:tcPr>
            <w:tcW w:w="1607" w:type="dxa"/>
          </w:tcPr>
          <w:p w14:paraId="4E128F77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0,024</w:t>
            </w:r>
          </w:p>
        </w:tc>
        <w:tc>
          <w:tcPr>
            <w:tcW w:w="1607" w:type="dxa"/>
          </w:tcPr>
          <w:p w14:paraId="3916B02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0,037</w:t>
            </w:r>
          </w:p>
        </w:tc>
        <w:tc>
          <w:tcPr>
            <w:tcW w:w="1607" w:type="dxa"/>
          </w:tcPr>
          <w:p w14:paraId="3670C5E6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0,070</w:t>
            </w:r>
          </w:p>
        </w:tc>
      </w:tr>
      <w:tr w:rsidR="00CB53DE" w:rsidRPr="00D52650" w14:paraId="60B72836" w14:textId="77777777" w:rsidTr="00F5352A">
        <w:tc>
          <w:tcPr>
            <w:tcW w:w="2088" w:type="dxa"/>
          </w:tcPr>
          <w:p w14:paraId="7B1D5C12" w14:textId="77777777" w:rsidR="00CB53DE" w:rsidRPr="00D52650" w:rsidRDefault="00CB53DE" w:rsidP="00F5352A">
            <w:pPr>
              <w:shd w:val="clear" w:color="auto" w:fill="FFFFFF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Gastrointestinální trakt</w:t>
            </w:r>
          </w:p>
        </w:tc>
        <w:tc>
          <w:tcPr>
            <w:tcW w:w="1606" w:type="dxa"/>
          </w:tcPr>
          <w:p w14:paraId="306206C4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</w:p>
        </w:tc>
        <w:tc>
          <w:tcPr>
            <w:tcW w:w="1606" w:type="dxa"/>
          </w:tcPr>
          <w:p w14:paraId="3BAA5A2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</w:p>
        </w:tc>
        <w:tc>
          <w:tcPr>
            <w:tcW w:w="1607" w:type="dxa"/>
          </w:tcPr>
          <w:p w14:paraId="115178EA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</w:p>
        </w:tc>
        <w:tc>
          <w:tcPr>
            <w:tcW w:w="1607" w:type="dxa"/>
          </w:tcPr>
          <w:p w14:paraId="7D986E50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</w:p>
        </w:tc>
        <w:tc>
          <w:tcPr>
            <w:tcW w:w="1607" w:type="dxa"/>
          </w:tcPr>
          <w:p w14:paraId="5BCCF3F0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</w:p>
        </w:tc>
      </w:tr>
      <w:tr w:rsidR="00CB53DE" w:rsidRPr="00D52650" w14:paraId="47BA0DE4" w14:textId="77777777" w:rsidTr="00F5352A">
        <w:tc>
          <w:tcPr>
            <w:tcW w:w="2088" w:type="dxa"/>
          </w:tcPr>
          <w:p w14:paraId="6D8E7A47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Žaludek</w:t>
            </w:r>
          </w:p>
        </w:tc>
        <w:tc>
          <w:tcPr>
            <w:tcW w:w="1606" w:type="dxa"/>
          </w:tcPr>
          <w:p w14:paraId="0DF5EDC2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0,011</w:t>
            </w:r>
          </w:p>
        </w:tc>
        <w:tc>
          <w:tcPr>
            <w:tcW w:w="1606" w:type="dxa"/>
          </w:tcPr>
          <w:p w14:paraId="2EAED79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0,014</w:t>
            </w:r>
          </w:p>
        </w:tc>
        <w:tc>
          <w:tcPr>
            <w:tcW w:w="1607" w:type="dxa"/>
          </w:tcPr>
          <w:p w14:paraId="049254FE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0,022</w:t>
            </w:r>
          </w:p>
        </w:tc>
        <w:tc>
          <w:tcPr>
            <w:tcW w:w="1607" w:type="dxa"/>
          </w:tcPr>
          <w:p w14:paraId="7CD3352A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0,035</w:t>
            </w:r>
          </w:p>
        </w:tc>
        <w:tc>
          <w:tcPr>
            <w:tcW w:w="1607" w:type="dxa"/>
          </w:tcPr>
          <w:p w14:paraId="4DAB827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0,067</w:t>
            </w:r>
          </w:p>
        </w:tc>
      </w:tr>
      <w:tr w:rsidR="00CB53DE" w:rsidRPr="00D52650" w14:paraId="009A0B44" w14:textId="77777777" w:rsidTr="00F5352A">
        <w:tc>
          <w:tcPr>
            <w:tcW w:w="2088" w:type="dxa"/>
          </w:tcPr>
          <w:p w14:paraId="47B3AFCE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Tenké střevo</w:t>
            </w:r>
          </w:p>
        </w:tc>
        <w:tc>
          <w:tcPr>
            <w:tcW w:w="1606" w:type="dxa"/>
          </w:tcPr>
          <w:p w14:paraId="536C52B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</w:t>
            </w:r>
            <w:r w:rsidRPr="00D52650">
              <w:rPr>
                <w:sz w:val="22"/>
                <w:szCs w:val="22"/>
                <w:lang w:val="cs-CZ"/>
              </w:rPr>
              <w:t>2</w:t>
            </w:r>
          </w:p>
        </w:tc>
        <w:tc>
          <w:tcPr>
            <w:tcW w:w="1606" w:type="dxa"/>
          </w:tcPr>
          <w:p w14:paraId="7DAE315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0,016</w:t>
            </w:r>
          </w:p>
        </w:tc>
        <w:tc>
          <w:tcPr>
            <w:tcW w:w="1607" w:type="dxa"/>
          </w:tcPr>
          <w:p w14:paraId="1EA8926E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0,025</w:t>
            </w:r>
          </w:p>
        </w:tc>
        <w:tc>
          <w:tcPr>
            <w:tcW w:w="1607" w:type="dxa"/>
          </w:tcPr>
          <w:p w14:paraId="4406511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0,040</w:t>
            </w:r>
          </w:p>
        </w:tc>
        <w:tc>
          <w:tcPr>
            <w:tcW w:w="1607" w:type="dxa"/>
          </w:tcPr>
          <w:p w14:paraId="4162A67E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0,073</w:t>
            </w:r>
          </w:p>
        </w:tc>
      </w:tr>
      <w:tr w:rsidR="00CB53DE" w:rsidRPr="00D52650" w14:paraId="0E2E41A3" w14:textId="77777777" w:rsidTr="00F5352A">
        <w:tc>
          <w:tcPr>
            <w:tcW w:w="2088" w:type="dxa"/>
          </w:tcPr>
          <w:p w14:paraId="30AEDADD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Tlusté střevo</w:t>
            </w:r>
          </w:p>
        </w:tc>
        <w:tc>
          <w:tcPr>
            <w:tcW w:w="1606" w:type="dxa"/>
          </w:tcPr>
          <w:p w14:paraId="3F0F1BB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0,013</w:t>
            </w:r>
          </w:p>
        </w:tc>
        <w:tc>
          <w:tcPr>
            <w:tcW w:w="1606" w:type="dxa"/>
          </w:tcPr>
          <w:p w14:paraId="41A803A1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0,016</w:t>
            </w:r>
          </w:p>
        </w:tc>
        <w:tc>
          <w:tcPr>
            <w:tcW w:w="1607" w:type="dxa"/>
          </w:tcPr>
          <w:p w14:paraId="65A0111A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0,025</w:t>
            </w:r>
          </w:p>
        </w:tc>
        <w:tc>
          <w:tcPr>
            <w:tcW w:w="1607" w:type="dxa"/>
          </w:tcPr>
          <w:p w14:paraId="48BCF59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0,039</w:t>
            </w:r>
          </w:p>
        </w:tc>
        <w:tc>
          <w:tcPr>
            <w:tcW w:w="1607" w:type="dxa"/>
          </w:tcPr>
          <w:p w14:paraId="1425EE2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0,070</w:t>
            </w:r>
          </w:p>
        </w:tc>
      </w:tr>
      <w:tr w:rsidR="00CB53DE" w:rsidRPr="00D52650" w14:paraId="5C031745" w14:textId="77777777" w:rsidTr="00F5352A">
        <w:tc>
          <w:tcPr>
            <w:tcW w:w="2088" w:type="dxa"/>
          </w:tcPr>
          <w:p w14:paraId="1F98BA2C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Stěna tlustého střeva – horní část</w:t>
            </w:r>
          </w:p>
        </w:tc>
        <w:tc>
          <w:tcPr>
            <w:tcW w:w="1606" w:type="dxa"/>
          </w:tcPr>
          <w:p w14:paraId="412AE70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0,012</w:t>
            </w:r>
          </w:p>
        </w:tc>
        <w:tc>
          <w:tcPr>
            <w:tcW w:w="1606" w:type="dxa"/>
          </w:tcPr>
          <w:p w14:paraId="25EEB8F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0,015</w:t>
            </w:r>
          </w:p>
        </w:tc>
        <w:tc>
          <w:tcPr>
            <w:tcW w:w="1607" w:type="dxa"/>
          </w:tcPr>
          <w:p w14:paraId="523B7E87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0,024</w:t>
            </w:r>
          </w:p>
        </w:tc>
        <w:tc>
          <w:tcPr>
            <w:tcW w:w="1607" w:type="dxa"/>
          </w:tcPr>
          <w:p w14:paraId="4F71D8D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0,038</w:t>
            </w:r>
          </w:p>
        </w:tc>
        <w:tc>
          <w:tcPr>
            <w:tcW w:w="1607" w:type="dxa"/>
          </w:tcPr>
          <w:p w14:paraId="5D994544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0,070</w:t>
            </w:r>
          </w:p>
        </w:tc>
      </w:tr>
      <w:tr w:rsidR="00CB53DE" w:rsidRPr="00D52650" w14:paraId="2DB3D431" w14:textId="77777777" w:rsidTr="00F5352A">
        <w:tc>
          <w:tcPr>
            <w:tcW w:w="2088" w:type="dxa"/>
          </w:tcPr>
          <w:p w14:paraId="7DA09C89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Stěna tlustého střeva – dolní část</w:t>
            </w:r>
          </w:p>
        </w:tc>
        <w:tc>
          <w:tcPr>
            <w:tcW w:w="1606" w:type="dxa"/>
          </w:tcPr>
          <w:p w14:paraId="15A2383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0,014</w:t>
            </w:r>
          </w:p>
        </w:tc>
        <w:tc>
          <w:tcPr>
            <w:tcW w:w="1606" w:type="dxa"/>
          </w:tcPr>
          <w:p w14:paraId="0B5481C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0,017</w:t>
            </w:r>
          </w:p>
        </w:tc>
        <w:tc>
          <w:tcPr>
            <w:tcW w:w="1607" w:type="dxa"/>
          </w:tcPr>
          <w:p w14:paraId="4402C425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0,027</w:t>
            </w:r>
          </w:p>
        </w:tc>
        <w:tc>
          <w:tcPr>
            <w:tcW w:w="1607" w:type="dxa"/>
          </w:tcPr>
          <w:p w14:paraId="392BA306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0,041</w:t>
            </w:r>
          </w:p>
        </w:tc>
        <w:tc>
          <w:tcPr>
            <w:tcW w:w="1607" w:type="dxa"/>
          </w:tcPr>
          <w:p w14:paraId="5A19E004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0,070</w:t>
            </w:r>
          </w:p>
        </w:tc>
      </w:tr>
      <w:tr w:rsidR="00CB53DE" w:rsidRPr="00D52650" w14:paraId="4520C2A3" w14:textId="77777777" w:rsidTr="00F5352A">
        <w:tc>
          <w:tcPr>
            <w:tcW w:w="2088" w:type="dxa"/>
          </w:tcPr>
          <w:p w14:paraId="66E0345D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Srdce</w:t>
            </w:r>
          </w:p>
        </w:tc>
        <w:tc>
          <w:tcPr>
            <w:tcW w:w="1606" w:type="dxa"/>
          </w:tcPr>
          <w:p w14:paraId="4245C87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0,067</w:t>
            </w:r>
          </w:p>
        </w:tc>
        <w:tc>
          <w:tcPr>
            <w:tcW w:w="1606" w:type="dxa"/>
          </w:tcPr>
          <w:p w14:paraId="0A27B680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0,087</w:t>
            </w:r>
          </w:p>
        </w:tc>
        <w:tc>
          <w:tcPr>
            <w:tcW w:w="1607" w:type="dxa"/>
          </w:tcPr>
          <w:p w14:paraId="3091145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0,130</w:t>
            </w:r>
          </w:p>
        </w:tc>
        <w:tc>
          <w:tcPr>
            <w:tcW w:w="1607" w:type="dxa"/>
          </w:tcPr>
          <w:p w14:paraId="48C6C851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0,210</w:t>
            </w:r>
          </w:p>
        </w:tc>
        <w:tc>
          <w:tcPr>
            <w:tcW w:w="1607" w:type="dxa"/>
          </w:tcPr>
          <w:p w14:paraId="0CFF9C6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0,380</w:t>
            </w:r>
          </w:p>
        </w:tc>
      </w:tr>
      <w:tr w:rsidR="00CB53DE" w:rsidRPr="00D52650" w14:paraId="44152832" w14:textId="77777777" w:rsidTr="00F5352A">
        <w:tc>
          <w:tcPr>
            <w:tcW w:w="2088" w:type="dxa"/>
          </w:tcPr>
          <w:p w14:paraId="14D7B42B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Ledviny</w:t>
            </w:r>
          </w:p>
        </w:tc>
        <w:tc>
          <w:tcPr>
            <w:tcW w:w="1606" w:type="dxa"/>
          </w:tcPr>
          <w:p w14:paraId="32279E01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0,017</w:t>
            </w:r>
          </w:p>
        </w:tc>
        <w:tc>
          <w:tcPr>
            <w:tcW w:w="1606" w:type="dxa"/>
          </w:tcPr>
          <w:p w14:paraId="34E551A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0,021</w:t>
            </w:r>
          </w:p>
        </w:tc>
        <w:tc>
          <w:tcPr>
            <w:tcW w:w="1607" w:type="dxa"/>
          </w:tcPr>
          <w:p w14:paraId="5C7B0DF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0,029</w:t>
            </w:r>
          </w:p>
        </w:tc>
        <w:tc>
          <w:tcPr>
            <w:tcW w:w="1607" w:type="dxa"/>
          </w:tcPr>
          <w:p w14:paraId="77D4D9A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0,045</w:t>
            </w:r>
          </w:p>
        </w:tc>
        <w:tc>
          <w:tcPr>
            <w:tcW w:w="1607" w:type="dxa"/>
          </w:tcPr>
          <w:p w14:paraId="3BAF030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0,078</w:t>
            </w:r>
          </w:p>
        </w:tc>
      </w:tr>
      <w:tr w:rsidR="00CB53DE" w:rsidRPr="00D52650" w14:paraId="5497DD4D" w14:textId="77777777" w:rsidTr="00F5352A">
        <w:tc>
          <w:tcPr>
            <w:tcW w:w="2088" w:type="dxa"/>
          </w:tcPr>
          <w:p w14:paraId="7AB3E685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Játra</w:t>
            </w:r>
          </w:p>
        </w:tc>
        <w:tc>
          <w:tcPr>
            <w:tcW w:w="1606" w:type="dxa"/>
          </w:tcPr>
          <w:p w14:paraId="629F6CC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0,021</w:t>
            </w:r>
          </w:p>
        </w:tc>
        <w:tc>
          <w:tcPr>
            <w:tcW w:w="1606" w:type="dxa"/>
          </w:tcPr>
          <w:p w14:paraId="191D273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0,028</w:t>
            </w:r>
          </w:p>
        </w:tc>
        <w:tc>
          <w:tcPr>
            <w:tcW w:w="1607" w:type="dxa"/>
          </w:tcPr>
          <w:p w14:paraId="0E768522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0,042</w:t>
            </w:r>
          </w:p>
        </w:tc>
        <w:tc>
          <w:tcPr>
            <w:tcW w:w="1607" w:type="dxa"/>
          </w:tcPr>
          <w:p w14:paraId="73DE3181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0,063</w:t>
            </w:r>
          </w:p>
        </w:tc>
        <w:tc>
          <w:tcPr>
            <w:tcW w:w="1607" w:type="dxa"/>
          </w:tcPr>
          <w:p w14:paraId="2E1E1EF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0,120</w:t>
            </w:r>
          </w:p>
        </w:tc>
      </w:tr>
      <w:tr w:rsidR="00CB53DE" w:rsidRPr="00D52650" w14:paraId="71E41540" w14:textId="77777777" w:rsidTr="00F5352A">
        <w:tc>
          <w:tcPr>
            <w:tcW w:w="2088" w:type="dxa"/>
          </w:tcPr>
          <w:p w14:paraId="6111A372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Plíce</w:t>
            </w:r>
          </w:p>
        </w:tc>
        <w:tc>
          <w:tcPr>
            <w:tcW w:w="1606" w:type="dxa"/>
          </w:tcPr>
          <w:p w14:paraId="7CB82966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0,020</w:t>
            </w:r>
          </w:p>
        </w:tc>
        <w:tc>
          <w:tcPr>
            <w:tcW w:w="1606" w:type="dxa"/>
          </w:tcPr>
          <w:p w14:paraId="401917DB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0,029</w:t>
            </w:r>
          </w:p>
        </w:tc>
        <w:tc>
          <w:tcPr>
            <w:tcW w:w="1607" w:type="dxa"/>
          </w:tcPr>
          <w:p w14:paraId="1DB4F252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0,041</w:t>
            </w:r>
          </w:p>
        </w:tc>
        <w:tc>
          <w:tcPr>
            <w:tcW w:w="1607" w:type="dxa"/>
          </w:tcPr>
          <w:p w14:paraId="41C0EB6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0,062</w:t>
            </w:r>
          </w:p>
        </w:tc>
        <w:tc>
          <w:tcPr>
            <w:tcW w:w="1607" w:type="dxa"/>
          </w:tcPr>
          <w:p w14:paraId="21130644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0,120</w:t>
            </w:r>
          </w:p>
        </w:tc>
      </w:tr>
      <w:tr w:rsidR="00CB53DE" w:rsidRPr="00D52650" w14:paraId="562AD202" w14:textId="77777777" w:rsidTr="00F5352A">
        <w:tc>
          <w:tcPr>
            <w:tcW w:w="2088" w:type="dxa"/>
          </w:tcPr>
          <w:p w14:paraId="56101B14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Svaly</w:t>
            </w:r>
          </w:p>
        </w:tc>
        <w:tc>
          <w:tcPr>
            <w:tcW w:w="1606" w:type="dxa"/>
          </w:tcPr>
          <w:p w14:paraId="42EBBE95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0,010</w:t>
            </w:r>
          </w:p>
        </w:tc>
        <w:tc>
          <w:tcPr>
            <w:tcW w:w="1606" w:type="dxa"/>
          </w:tcPr>
          <w:p w14:paraId="68FB3EAE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0,013</w:t>
            </w:r>
          </w:p>
        </w:tc>
        <w:tc>
          <w:tcPr>
            <w:tcW w:w="1607" w:type="dxa"/>
          </w:tcPr>
          <w:p w14:paraId="09A09047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0,020</w:t>
            </w:r>
          </w:p>
        </w:tc>
        <w:tc>
          <w:tcPr>
            <w:tcW w:w="1607" w:type="dxa"/>
          </w:tcPr>
          <w:p w14:paraId="6FCB98F4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0,033</w:t>
            </w:r>
          </w:p>
        </w:tc>
        <w:tc>
          <w:tcPr>
            <w:tcW w:w="1607" w:type="dxa"/>
          </w:tcPr>
          <w:p w14:paraId="70B7CC70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0,062</w:t>
            </w:r>
          </w:p>
        </w:tc>
      </w:tr>
      <w:tr w:rsidR="00CB53DE" w:rsidRPr="00D52650" w14:paraId="35BDD7A4" w14:textId="77777777" w:rsidTr="00F5352A">
        <w:tc>
          <w:tcPr>
            <w:tcW w:w="2088" w:type="dxa"/>
          </w:tcPr>
          <w:p w14:paraId="43C7712A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Jícen</w:t>
            </w:r>
          </w:p>
        </w:tc>
        <w:tc>
          <w:tcPr>
            <w:tcW w:w="1606" w:type="dxa"/>
          </w:tcPr>
          <w:p w14:paraId="554D3B50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0,012</w:t>
            </w:r>
          </w:p>
        </w:tc>
        <w:tc>
          <w:tcPr>
            <w:tcW w:w="1606" w:type="dxa"/>
          </w:tcPr>
          <w:p w14:paraId="0EE94ADA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0,015</w:t>
            </w:r>
          </w:p>
        </w:tc>
        <w:tc>
          <w:tcPr>
            <w:tcW w:w="1607" w:type="dxa"/>
          </w:tcPr>
          <w:p w14:paraId="26E9380E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0,022</w:t>
            </w:r>
          </w:p>
        </w:tc>
        <w:tc>
          <w:tcPr>
            <w:tcW w:w="1607" w:type="dxa"/>
          </w:tcPr>
          <w:p w14:paraId="5C184707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0,035</w:t>
            </w:r>
          </w:p>
        </w:tc>
        <w:tc>
          <w:tcPr>
            <w:tcW w:w="1607" w:type="dxa"/>
          </w:tcPr>
          <w:p w14:paraId="2A69BE7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</w:t>
            </w:r>
            <w:r w:rsidRPr="00D52650">
              <w:rPr>
                <w:sz w:val="22"/>
                <w:szCs w:val="22"/>
                <w:lang w:val="cs-CZ"/>
              </w:rPr>
              <w:t>6</w:t>
            </w:r>
          </w:p>
        </w:tc>
      </w:tr>
      <w:tr w:rsidR="00CB53DE" w:rsidRPr="00D52650" w14:paraId="78C119AD" w14:textId="77777777" w:rsidTr="00F5352A">
        <w:tc>
          <w:tcPr>
            <w:tcW w:w="2088" w:type="dxa"/>
          </w:tcPr>
          <w:p w14:paraId="4F068FAF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Vaječníky</w:t>
            </w:r>
          </w:p>
        </w:tc>
        <w:tc>
          <w:tcPr>
            <w:tcW w:w="1606" w:type="dxa"/>
          </w:tcPr>
          <w:p w14:paraId="49C31600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0,014</w:t>
            </w:r>
          </w:p>
        </w:tc>
        <w:tc>
          <w:tcPr>
            <w:tcW w:w="1606" w:type="dxa"/>
          </w:tcPr>
          <w:p w14:paraId="5C2FC747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0,018</w:t>
            </w:r>
          </w:p>
        </w:tc>
        <w:tc>
          <w:tcPr>
            <w:tcW w:w="1607" w:type="dxa"/>
          </w:tcPr>
          <w:p w14:paraId="2FFCE15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0,027</w:t>
            </w:r>
          </w:p>
        </w:tc>
        <w:tc>
          <w:tcPr>
            <w:tcW w:w="1607" w:type="dxa"/>
          </w:tcPr>
          <w:p w14:paraId="135E55D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0,043</w:t>
            </w:r>
          </w:p>
        </w:tc>
        <w:tc>
          <w:tcPr>
            <w:tcW w:w="1607" w:type="dxa"/>
          </w:tcPr>
          <w:p w14:paraId="25102DF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0,076</w:t>
            </w:r>
          </w:p>
        </w:tc>
      </w:tr>
      <w:tr w:rsidR="00CB53DE" w:rsidRPr="00D52650" w14:paraId="3C8A5A37" w14:textId="77777777" w:rsidTr="00F5352A">
        <w:tc>
          <w:tcPr>
            <w:tcW w:w="2088" w:type="dxa"/>
          </w:tcPr>
          <w:p w14:paraId="2302E8BA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Pankreas</w:t>
            </w:r>
          </w:p>
        </w:tc>
        <w:tc>
          <w:tcPr>
            <w:tcW w:w="1606" w:type="dxa"/>
          </w:tcPr>
          <w:p w14:paraId="41A6EA2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0,013</w:t>
            </w:r>
          </w:p>
        </w:tc>
        <w:tc>
          <w:tcPr>
            <w:tcW w:w="1606" w:type="dxa"/>
          </w:tcPr>
          <w:p w14:paraId="3B72D2E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0,016</w:t>
            </w:r>
          </w:p>
        </w:tc>
        <w:tc>
          <w:tcPr>
            <w:tcW w:w="1607" w:type="dxa"/>
          </w:tcPr>
          <w:p w14:paraId="3F11F336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0,026</w:t>
            </w:r>
          </w:p>
        </w:tc>
        <w:tc>
          <w:tcPr>
            <w:tcW w:w="1607" w:type="dxa"/>
          </w:tcPr>
          <w:p w14:paraId="2EAC2BCB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0,040</w:t>
            </w:r>
          </w:p>
        </w:tc>
        <w:tc>
          <w:tcPr>
            <w:tcW w:w="1607" w:type="dxa"/>
          </w:tcPr>
          <w:p w14:paraId="1E18E80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0,076</w:t>
            </w:r>
          </w:p>
        </w:tc>
      </w:tr>
      <w:tr w:rsidR="00CB53DE" w:rsidRPr="00D52650" w14:paraId="5F6B4154" w14:textId="77777777" w:rsidTr="00F5352A">
        <w:tc>
          <w:tcPr>
            <w:tcW w:w="2088" w:type="dxa"/>
          </w:tcPr>
          <w:p w14:paraId="22B3CB9F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Kostní dřeň</w:t>
            </w:r>
          </w:p>
        </w:tc>
        <w:tc>
          <w:tcPr>
            <w:tcW w:w="1606" w:type="dxa"/>
          </w:tcPr>
          <w:p w14:paraId="66974BDB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0,011</w:t>
            </w:r>
          </w:p>
        </w:tc>
        <w:tc>
          <w:tcPr>
            <w:tcW w:w="1606" w:type="dxa"/>
          </w:tcPr>
          <w:p w14:paraId="5545FA22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0,014</w:t>
            </w:r>
          </w:p>
        </w:tc>
        <w:tc>
          <w:tcPr>
            <w:tcW w:w="1607" w:type="dxa"/>
          </w:tcPr>
          <w:p w14:paraId="7899C191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0,021</w:t>
            </w:r>
          </w:p>
        </w:tc>
        <w:tc>
          <w:tcPr>
            <w:tcW w:w="1607" w:type="dxa"/>
          </w:tcPr>
          <w:p w14:paraId="3DA3C200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0,032</w:t>
            </w:r>
          </w:p>
        </w:tc>
        <w:tc>
          <w:tcPr>
            <w:tcW w:w="1607" w:type="dxa"/>
          </w:tcPr>
          <w:p w14:paraId="4E564A3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0,059</w:t>
            </w:r>
          </w:p>
        </w:tc>
      </w:tr>
      <w:tr w:rsidR="00CB53DE" w:rsidRPr="00D52650" w14:paraId="095F0085" w14:textId="77777777" w:rsidTr="00F5352A">
        <w:tc>
          <w:tcPr>
            <w:tcW w:w="2088" w:type="dxa"/>
          </w:tcPr>
          <w:p w14:paraId="30B629AE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Kůže</w:t>
            </w:r>
          </w:p>
        </w:tc>
        <w:tc>
          <w:tcPr>
            <w:tcW w:w="1606" w:type="dxa"/>
          </w:tcPr>
          <w:p w14:paraId="5769BCD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0,008</w:t>
            </w:r>
          </w:p>
        </w:tc>
        <w:tc>
          <w:tcPr>
            <w:tcW w:w="1606" w:type="dxa"/>
          </w:tcPr>
          <w:p w14:paraId="0E7E92F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0,010</w:t>
            </w:r>
          </w:p>
        </w:tc>
        <w:tc>
          <w:tcPr>
            <w:tcW w:w="1607" w:type="dxa"/>
          </w:tcPr>
          <w:p w14:paraId="28DA0306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0,015</w:t>
            </w:r>
          </w:p>
        </w:tc>
        <w:tc>
          <w:tcPr>
            <w:tcW w:w="1607" w:type="dxa"/>
          </w:tcPr>
          <w:p w14:paraId="4EB2D47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0,026</w:t>
            </w:r>
          </w:p>
        </w:tc>
        <w:tc>
          <w:tcPr>
            <w:tcW w:w="1607" w:type="dxa"/>
          </w:tcPr>
          <w:p w14:paraId="3D8DF0E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0,050</w:t>
            </w:r>
          </w:p>
        </w:tc>
      </w:tr>
      <w:tr w:rsidR="00CB53DE" w:rsidRPr="00D52650" w14:paraId="25E238F5" w14:textId="77777777" w:rsidTr="00F5352A">
        <w:tc>
          <w:tcPr>
            <w:tcW w:w="2088" w:type="dxa"/>
          </w:tcPr>
          <w:p w14:paraId="1CA3AFCE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Slezina</w:t>
            </w:r>
          </w:p>
        </w:tc>
        <w:tc>
          <w:tcPr>
            <w:tcW w:w="1606" w:type="dxa"/>
          </w:tcPr>
          <w:p w14:paraId="4E9C423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0,011</w:t>
            </w:r>
          </w:p>
        </w:tc>
        <w:tc>
          <w:tcPr>
            <w:tcW w:w="1606" w:type="dxa"/>
          </w:tcPr>
          <w:p w14:paraId="5BA5CDD0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0,014</w:t>
            </w:r>
          </w:p>
        </w:tc>
        <w:tc>
          <w:tcPr>
            <w:tcW w:w="1607" w:type="dxa"/>
          </w:tcPr>
          <w:p w14:paraId="02D5927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0,021</w:t>
            </w:r>
          </w:p>
        </w:tc>
        <w:tc>
          <w:tcPr>
            <w:tcW w:w="1607" w:type="dxa"/>
          </w:tcPr>
          <w:p w14:paraId="5661646E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0,035</w:t>
            </w:r>
          </w:p>
        </w:tc>
        <w:tc>
          <w:tcPr>
            <w:tcW w:w="1607" w:type="dxa"/>
          </w:tcPr>
          <w:p w14:paraId="7156B171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0,066</w:t>
            </w:r>
          </w:p>
        </w:tc>
      </w:tr>
      <w:tr w:rsidR="00CB53DE" w:rsidRPr="00D52650" w14:paraId="713BE403" w14:textId="77777777" w:rsidTr="00F5352A">
        <w:tc>
          <w:tcPr>
            <w:tcW w:w="2088" w:type="dxa"/>
          </w:tcPr>
          <w:p w14:paraId="72AFE10C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Varlata</w:t>
            </w:r>
          </w:p>
        </w:tc>
        <w:tc>
          <w:tcPr>
            <w:tcW w:w="1606" w:type="dxa"/>
          </w:tcPr>
          <w:p w14:paraId="60598597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0,011</w:t>
            </w:r>
          </w:p>
        </w:tc>
        <w:tc>
          <w:tcPr>
            <w:tcW w:w="1606" w:type="dxa"/>
          </w:tcPr>
          <w:p w14:paraId="6566D1F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0,014</w:t>
            </w:r>
          </w:p>
        </w:tc>
        <w:tc>
          <w:tcPr>
            <w:tcW w:w="1607" w:type="dxa"/>
          </w:tcPr>
          <w:p w14:paraId="3492B27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0,024</w:t>
            </w:r>
          </w:p>
        </w:tc>
        <w:tc>
          <w:tcPr>
            <w:tcW w:w="1607" w:type="dxa"/>
          </w:tcPr>
          <w:p w14:paraId="7AD5A472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0,037</w:t>
            </w:r>
          </w:p>
        </w:tc>
        <w:tc>
          <w:tcPr>
            <w:tcW w:w="1607" w:type="dxa"/>
          </w:tcPr>
          <w:p w14:paraId="7112971B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0,066</w:t>
            </w:r>
          </w:p>
        </w:tc>
      </w:tr>
      <w:tr w:rsidR="00CB53DE" w:rsidRPr="00D52650" w14:paraId="25AC0BCA" w14:textId="77777777" w:rsidTr="00F5352A">
        <w:tc>
          <w:tcPr>
            <w:tcW w:w="2088" w:type="dxa"/>
          </w:tcPr>
          <w:p w14:paraId="21A73503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Brzlík</w:t>
            </w:r>
          </w:p>
        </w:tc>
        <w:tc>
          <w:tcPr>
            <w:tcW w:w="1606" w:type="dxa"/>
          </w:tcPr>
          <w:p w14:paraId="26A9798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0,012</w:t>
            </w:r>
          </w:p>
        </w:tc>
        <w:tc>
          <w:tcPr>
            <w:tcW w:w="1606" w:type="dxa"/>
          </w:tcPr>
          <w:p w14:paraId="4EA8D84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0,015</w:t>
            </w:r>
          </w:p>
        </w:tc>
        <w:tc>
          <w:tcPr>
            <w:tcW w:w="1607" w:type="dxa"/>
          </w:tcPr>
          <w:p w14:paraId="3E7F307B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0,022</w:t>
            </w:r>
          </w:p>
        </w:tc>
        <w:tc>
          <w:tcPr>
            <w:tcW w:w="1607" w:type="dxa"/>
          </w:tcPr>
          <w:p w14:paraId="3073BA1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0,035</w:t>
            </w:r>
          </w:p>
        </w:tc>
        <w:tc>
          <w:tcPr>
            <w:tcW w:w="1607" w:type="dxa"/>
          </w:tcPr>
          <w:p w14:paraId="62B71BA2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0,066</w:t>
            </w:r>
          </w:p>
        </w:tc>
      </w:tr>
      <w:tr w:rsidR="00CB53DE" w:rsidRPr="00D52650" w14:paraId="2578C417" w14:textId="77777777" w:rsidTr="00F5352A">
        <w:tc>
          <w:tcPr>
            <w:tcW w:w="2088" w:type="dxa"/>
          </w:tcPr>
          <w:p w14:paraId="544D1A79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Štítná žláza</w:t>
            </w:r>
          </w:p>
        </w:tc>
        <w:tc>
          <w:tcPr>
            <w:tcW w:w="1606" w:type="dxa"/>
          </w:tcPr>
          <w:p w14:paraId="2CFD88D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0,010</w:t>
            </w:r>
          </w:p>
        </w:tc>
        <w:tc>
          <w:tcPr>
            <w:tcW w:w="1606" w:type="dxa"/>
          </w:tcPr>
          <w:p w14:paraId="1577AE1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0,013</w:t>
            </w:r>
          </w:p>
        </w:tc>
        <w:tc>
          <w:tcPr>
            <w:tcW w:w="1607" w:type="dxa"/>
          </w:tcPr>
          <w:p w14:paraId="2B5EB094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0,021</w:t>
            </w:r>
          </w:p>
        </w:tc>
        <w:tc>
          <w:tcPr>
            <w:tcW w:w="1607" w:type="dxa"/>
          </w:tcPr>
          <w:p w14:paraId="6AA8D9C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0,034</w:t>
            </w:r>
          </w:p>
        </w:tc>
        <w:tc>
          <w:tcPr>
            <w:tcW w:w="1607" w:type="dxa"/>
          </w:tcPr>
          <w:p w14:paraId="6AB7BA7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0,065</w:t>
            </w:r>
          </w:p>
        </w:tc>
      </w:tr>
      <w:tr w:rsidR="00CB53DE" w:rsidRPr="00D52650" w14:paraId="30D45E26" w14:textId="77777777" w:rsidTr="00F5352A">
        <w:tc>
          <w:tcPr>
            <w:tcW w:w="2088" w:type="dxa"/>
            <w:tcBorders>
              <w:bottom w:val="single" w:sz="12" w:space="0" w:color="008000"/>
            </w:tcBorders>
          </w:tcPr>
          <w:p w14:paraId="250778EE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Děloha</w:t>
            </w:r>
          </w:p>
        </w:tc>
        <w:tc>
          <w:tcPr>
            <w:tcW w:w="1606" w:type="dxa"/>
            <w:tcBorders>
              <w:bottom w:val="single" w:sz="12" w:space="0" w:color="008000"/>
            </w:tcBorders>
          </w:tcPr>
          <w:p w14:paraId="2AB6FC62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0,018</w:t>
            </w:r>
          </w:p>
        </w:tc>
        <w:tc>
          <w:tcPr>
            <w:tcW w:w="1606" w:type="dxa"/>
            <w:tcBorders>
              <w:bottom w:val="single" w:sz="12" w:space="0" w:color="008000"/>
            </w:tcBorders>
          </w:tcPr>
          <w:p w14:paraId="48FCFEBD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0,022</w:t>
            </w:r>
          </w:p>
        </w:tc>
        <w:tc>
          <w:tcPr>
            <w:tcW w:w="1607" w:type="dxa"/>
            <w:tcBorders>
              <w:bottom w:val="single" w:sz="12" w:space="0" w:color="008000"/>
            </w:tcBorders>
          </w:tcPr>
          <w:p w14:paraId="2CC568E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0,036</w:t>
            </w:r>
          </w:p>
        </w:tc>
        <w:tc>
          <w:tcPr>
            <w:tcW w:w="1607" w:type="dxa"/>
            <w:tcBorders>
              <w:bottom w:val="single" w:sz="12" w:space="0" w:color="008000"/>
            </w:tcBorders>
          </w:tcPr>
          <w:p w14:paraId="2C567ABA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0,054</w:t>
            </w:r>
          </w:p>
        </w:tc>
        <w:tc>
          <w:tcPr>
            <w:tcW w:w="1607" w:type="dxa"/>
            <w:tcBorders>
              <w:bottom w:val="single" w:sz="12" w:space="0" w:color="008000"/>
            </w:tcBorders>
          </w:tcPr>
          <w:p w14:paraId="0CAF015F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0,090</w:t>
            </w:r>
          </w:p>
        </w:tc>
      </w:tr>
      <w:tr w:rsidR="00CB53DE" w:rsidRPr="00D52650" w14:paraId="0AEE90C2" w14:textId="77777777" w:rsidTr="00F5352A">
        <w:tc>
          <w:tcPr>
            <w:tcW w:w="2088" w:type="dxa"/>
            <w:tcBorders>
              <w:top w:val="single" w:sz="12" w:space="0" w:color="008000"/>
              <w:bottom w:val="single" w:sz="12" w:space="0" w:color="008000"/>
            </w:tcBorders>
          </w:tcPr>
          <w:p w14:paraId="5E2C99F7" w14:textId="77777777" w:rsidR="00CB53DE" w:rsidRPr="00D52650" w:rsidRDefault="00CB53DE" w:rsidP="00F5352A">
            <w:pPr>
              <w:shd w:val="clear" w:color="auto" w:fill="FFFFFF"/>
              <w:rPr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Další orgány</w:t>
            </w:r>
          </w:p>
        </w:tc>
        <w:tc>
          <w:tcPr>
            <w:tcW w:w="1606" w:type="dxa"/>
            <w:tcBorders>
              <w:top w:val="single" w:sz="12" w:space="0" w:color="008000"/>
              <w:bottom w:val="single" w:sz="12" w:space="0" w:color="008000"/>
            </w:tcBorders>
          </w:tcPr>
          <w:p w14:paraId="701B817A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0,012</w:t>
            </w:r>
          </w:p>
        </w:tc>
        <w:tc>
          <w:tcPr>
            <w:tcW w:w="1606" w:type="dxa"/>
            <w:tcBorders>
              <w:top w:val="single" w:sz="12" w:space="0" w:color="008000"/>
              <w:bottom w:val="single" w:sz="12" w:space="0" w:color="008000"/>
            </w:tcBorders>
          </w:tcPr>
          <w:p w14:paraId="6A4322F9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0,015</w:t>
            </w:r>
          </w:p>
        </w:tc>
        <w:tc>
          <w:tcPr>
            <w:tcW w:w="1607" w:type="dxa"/>
            <w:tcBorders>
              <w:top w:val="single" w:sz="12" w:space="0" w:color="008000"/>
              <w:bottom w:val="single" w:sz="12" w:space="0" w:color="008000"/>
            </w:tcBorders>
          </w:tcPr>
          <w:p w14:paraId="2CA19BD3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0,024</w:t>
            </w:r>
          </w:p>
        </w:tc>
        <w:tc>
          <w:tcPr>
            <w:tcW w:w="1607" w:type="dxa"/>
            <w:tcBorders>
              <w:top w:val="single" w:sz="12" w:space="0" w:color="008000"/>
              <w:bottom w:val="single" w:sz="12" w:space="0" w:color="008000"/>
            </w:tcBorders>
          </w:tcPr>
          <w:p w14:paraId="4EE3C0A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0,038</w:t>
            </w:r>
          </w:p>
        </w:tc>
        <w:tc>
          <w:tcPr>
            <w:tcW w:w="1607" w:type="dxa"/>
            <w:tcBorders>
              <w:top w:val="single" w:sz="12" w:space="0" w:color="008000"/>
              <w:bottom w:val="single" w:sz="12" w:space="0" w:color="008000"/>
            </w:tcBorders>
          </w:tcPr>
          <w:p w14:paraId="12636A38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color w:val="000000"/>
                <w:sz w:val="22"/>
                <w:szCs w:val="22"/>
                <w:lang w:val="cs-CZ"/>
              </w:rPr>
              <w:t>0,064</w:t>
            </w:r>
          </w:p>
        </w:tc>
      </w:tr>
      <w:tr w:rsidR="00CB53DE" w:rsidRPr="00D52650" w14:paraId="2A1288BC" w14:textId="77777777" w:rsidTr="00F5352A">
        <w:tc>
          <w:tcPr>
            <w:tcW w:w="2088" w:type="dxa"/>
            <w:tcBorders>
              <w:top w:val="single" w:sz="12" w:space="0" w:color="008000"/>
              <w:bottom w:val="single" w:sz="12" w:space="0" w:color="008000"/>
            </w:tcBorders>
          </w:tcPr>
          <w:p w14:paraId="7D340E9B" w14:textId="77777777" w:rsidR="00CB53DE" w:rsidRPr="00D52650" w:rsidRDefault="00CB53DE" w:rsidP="00F5352A">
            <w:pPr>
              <w:jc w:val="both"/>
              <w:rPr>
                <w:b/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Účinná dávka</w:t>
            </w:r>
          </w:p>
          <w:p w14:paraId="51214FFC" w14:textId="77777777" w:rsidR="00CB53DE" w:rsidRPr="00D52650" w:rsidRDefault="00CB53DE" w:rsidP="00F5352A">
            <w:pPr>
              <w:jc w:val="both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(</w:t>
            </w:r>
            <w:proofErr w:type="spellStart"/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mSv</w:t>
            </w:r>
            <w:proofErr w:type="spellEnd"/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/</w:t>
            </w:r>
            <w:proofErr w:type="spellStart"/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MBq</w:t>
            </w:r>
            <w:proofErr w:type="spellEnd"/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)</w:t>
            </w:r>
          </w:p>
        </w:tc>
        <w:tc>
          <w:tcPr>
            <w:tcW w:w="1606" w:type="dxa"/>
            <w:tcBorders>
              <w:top w:val="single" w:sz="12" w:space="0" w:color="008000"/>
              <w:bottom w:val="single" w:sz="12" w:space="0" w:color="008000"/>
            </w:tcBorders>
          </w:tcPr>
          <w:p w14:paraId="0606642C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b/>
                <w:sz w:val="22"/>
                <w:szCs w:val="22"/>
                <w:lang w:val="cs-CZ"/>
              </w:rPr>
              <w:t>0,019</w:t>
            </w:r>
          </w:p>
          <w:p w14:paraId="3E3D957F" w14:textId="77777777" w:rsidR="00CB53DE" w:rsidRPr="00D52650" w:rsidRDefault="00CB53DE" w:rsidP="00F5352A">
            <w:pPr>
              <w:jc w:val="center"/>
              <w:rPr>
                <w:b/>
                <w:sz w:val="22"/>
                <w:szCs w:val="22"/>
                <w:lang w:val="cs-CZ"/>
              </w:rPr>
            </w:pPr>
          </w:p>
        </w:tc>
        <w:tc>
          <w:tcPr>
            <w:tcW w:w="1606" w:type="dxa"/>
            <w:tcBorders>
              <w:top w:val="single" w:sz="12" w:space="0" w:color="008000"/>
              <w:bottom w:val="single" w:sz="12" w:space="0" w:color="008000"/>
            </w:tcBorders>
          </w:tcPr>
          <w:p w14:paraId="5B9CF4BD" w14:textId="77777777" w:rsidR="00CB53DE" w:rsidRPr="00D52650" w:rsidRDefault="00CB53DE" w:rsidP="00F5352A">
            <w:pPr>
              <w:jc w:val="center"/>
              <w:rPr>
                <w:b/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0,024</w:t>
            </w:r>
          </w:p>
          <w:p w14:paraId="2F65DB11" w14:textId="77777777" w:rsidR="00CB53DE" w:rsidRPr="00D52650" w:rsidRDefault="00CB53DE" w:rsidP="00F5352A">
            <w:pPr>
              <w:jc w:val="center"/>
              <w:rPr>
                <w:b/>
                <w:color w:val="000000"/>
                <w:sz w:val="22"/>
                <w:szCs w:val="22"/>
                <w:lang w:val="cs-CZ"/>
              </w:rPr>
            </w:pPr>
          </w:p>
        </w:tc>
        <w:tc>
          <w:tcPr>
            <w:tcW w:w="1607" w:type="dxa"/>
            <w:tcBorders>
              <w:top w:val="single" w:sz="12" w:space="0" w:color="008000"/>
              <w:bottom w:val="single" w:sz="12" w:space="0" w:color="008000"/>
            </w:tcBorders>
          </w:tcPr>
          <w:p w14:paraId="7191DDEF" w14:textId="77777777" w:rsidR="00CB53DE" w:rsidRPr="00D52650" w:rsidRDefault="00CB53DE" w:rsidP="00F5352A">
            <w:pPr>
              <w:jc w:val="center"/>
              <w:rPr>
                <w:b/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0,037</w:t>
            </w:r>
          </w:p>
          <w:p w14:paraId="03FC13F6" w14:textId="77777777" w:rsidR="00CB53DE" w:rsidRPr="00D52650" w:rsidRDefault="00CB53DE" w:rsidP="00F5352A">
            <w:pPr>
              <w:jc w:val="center"/>
              <w:rPr>
                <w:b/>
                <w:color w:val="000000"/>
                <w:sz w:val="22"/>
                <w:szCs w:val="22"/>
                <w:lang w:val="cs-CZ"/>
              </w:rPr>
            </w:pPr>
          </w:p>
        </w:tc>
        <w:tc>
          <w:tcPr>
            <w:tcW w:w="1607" w:type="dxa"/>
            <w:tcBorders>
              <w:top w:val="single" w:sz="12" w:space="0" w:color="008000"/>
              <w:bottom w:val="single" w:sz="12" w:space="0" w:color="008000"/>
            </w:tcBorders>
          </w:tcPr>
          <w:p w14:paraId="78967AD6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0,056</w:t>
            </w:r>
          </w:p>
          <w:p w14:paraId="3FF365F8" w14:textId="77777777" w:rsidR="00CB53DE" w:rsidRPr="00D52650" w:rsidRDefault="00CB53DE" w:rsidP="00F5352A">
            <w:pPr>
              <w:jc w:val="center"/>
              <w:rPr>
                <w:b/>
                <w:color w:val="000000"/>
                <w:sz w:val="22"/>
                <w:szCs w:val="22"/>
                <w:lang w:val="cs-CZ"/>
              </w:rPr>
            </w:pPr>
          </w:p>
        </w:tc>
        <w:tc>
          <w:tcPr>
            <w:tcW w:w="1607" w:type="dxa"/>
            <w:tcBorders>
              <w:top w:val="single" w:sz="12" w:space="0" w:color="008000"/>
              <w:bottom w:val="single" w:sz="12" w:space="0" w:color="008000"/>
            </w:tcBorders>
          </w:tcPr>
          <w:p w14:paraId="779BA93E" w14:textId="77777777" w:rsidR="00CB53DE" w:rsidRPr="00D52650" w:rsidRDefault="00CB53DE" w:rsidP="00F5352A">
            <w:pPr>
              <w:jc w:val="center"/>
              <w:rPr>
                <w:color w:val="000000"/>
                <w:sz w:val="22"/>
                <w:szCs w:val="22"/>
                <w:lang w:val="cs-CZ"/>
              </w:rPr>
            </w:pPr>
            <w:r w:rsidRPr="00D52650">
              <w:rPr>
                <w:b/>
                <w:color w:val="000000"/>
                <w:sz w:val="22"/>
                <w:szCs w:val="22"/>
                <w:lang w:val="cs-CZ"/>
              </w:rPr>
              <w:t>0,095</w:t>
            </w:r>
          </w:p>
          <w:p w14:paraId="29B89AAC" w14:textId="77777777" w:rsidR="00CB53DE" w:rsidRPr="00D52650" w:rsidRDefault="00CB53DE" w:rsidP="00F5352A">
            <w:pPr>
              <w:jc w:val="center"/>
              <w:rPr>
                <w:b/>
                <w:color w:val="000000"/>
                <w:sz w:val="22"/>
                <w:szCs w:val="22"/>
                <w:lang w:val="cs-CZ"/>
              </w:rPr>
            </w:pPr>
          </w:p>
        </w:tc>
      </w:tr>
    </w:tbl>
    <w:p w14:paraId="24145C61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</w:p>
    <w:p w14:paraId="3C28C50A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t xml:space="preserve">Pro přípravek </w:t>
      </w:r>
      <w:proofErr w:type="spellStart"/>
      <w:r w:rsidRPr="00D52650">
        <w:rPr>
          <w:sz w:val="22"/>
          <w:szCs w:val="22"/>
          <w:lang w:val="cs-CZ"/>
        </w:rPr>
        <w:t>Fludeoxyglucose</w:t>
      </w:r>
      <w:proofErr w:type="spellEnd"/>
      <w:r w:rsidRPr="00D52650">
        <w:rPr>
          <w:sz w:val="22"/>
          <w:szCs w:val="22"/>
          <w:lang w:val="cs-CZ"/>
        </w:rPr>
        <w:t xml:space="preserve"> (</w:t>
      </w:r>
      <w:proofErr w:type="gramStart"/>
      <w:r w:rsidRPr="00D52650">
        <w:rPr>
          <w:color w:val="000000"/>
          <w:sz w:val="22"/>
          <w:szCs w:val="22"/>
          <w:vertAlign w:val="superscript"/>
          <w:lang w:val="cs-CZ"/>
        </w:rPr>
        <w:t>18</w:t>
      </w:r>
      <w:r w:rsidRPr="00D52650">
        <w:rPr>
          <w:color w:val="000000"/>
          <w:sz w:val="22"/>
          <w:szCs w:val="22"/>
          <w:lang w:val="cs-CZ"/>
        </w:rPr>
        <w:t>F</w:t>
      </w:r>
      <w:proofErr w:type="gramEnd"/>
      <w:r w:rsidRPr="00D52650">
        <w:rPr>
          <w:sz w:val="22"/>
          <w:szCs w:val="22"/>
          <w:lang w:val="cs-CZ"/>
        </w:rPr>
        <w:t>) Biont</w:t>
      </w:r>
      <w:r w:rsidRPr="00D52650">
        <w:rPr>
          <w:color w:val="000000"/>
          <w:sz w:val="22"/>
          <w:szCs w:val="22"/>
          <w:lang w:val="cs-CZ"/>
        </w:rPr>
        <w:t xml:space="preserve"> je účinná dávka při podání aktivity 400 </w:t>
      </w:r>
      <w:proofErr w:type="spellStart"/>
      <w:r w:rsidRPr="00D52650">
        <w:rPr>
          <w:color w:val="000000"/>
          <w:sz w:val="22"/>
          <w:szCs w:val="22"/>
          <w:lang w:val="cs-CZ"/>
        </w:rPr>
        <w:t>MBq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dospělému jedinci asi 7,6 </w:t>
      </w:r>
      <w:proofErr w:type="spellStart"/>
      <w:r w:rsidRPr="00D52650">
        <w:rPr>
          <w:color w:val="000000"/>
          <w:sz w:val="22"/>
          <w:szCs w:val="22"/>
          <w:lang w:val="cs-CZ"/>
        </w:rPr>
        <w:t>mSv</w:t>
      </w:r>
      <w:proofErr w:type="spellEnd"/>
      <w:r w:rsidRPr="00D52650">
        <w:rPr>
          <w:color w:val="000000"/>
          <w:sz w:val="22"/>
          <w:szCs w:val="22"/>
          <w:lang w:val="cs-CZ"/>
        </w:rPr>
        <w:t>.</w:t>
      </w:r>
    </w:p>
    <w:p w14:paraId="031BD545" w14:textId="77777777" w:rsidR="00CB53DE" w:rsidRPr="00D52650" w:rsidRDefault="00CB53DE" w:rsidP="00CB53DE">
      <w:pPr>
        <w:jc w:val="both"/>
        <w:rPr>
          <w:color w:val="000000"/>
          <w:sz w:val="22"/>
          <w:szCs w:val="22"/>
          <w:lang w:val="cs-CZ"/>
        </w:rPr>
      </w:pPr>
      <w:r w:rsidRPr="00D52650">
        <w:rPr>
          <w:color w:val="000000"/>
          <w:sz w:val="22"/>
          <w:szCs w:val="22"/>
          <w:lang w:val="cs-CZ"/>
        </w:rPr>
        <w:lastRenderedPageBreak/>
        <w:t xml:space="preserve">Pro tuto aktivitu 400 </w:t>
      </w:r>
      <w:proofErr w:type="spellStart"/>
      <w:r w:rsidRPr="00D52650">
        <w:rPr>
          <w:color w:val="000000"/>
          <w:sz w:val="22"/>
          <w:szCs w:val="22"/>
          <w:lang w:val="cs-CZ"/>
        </w:rPr>
        <w:t>MBq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je radiační záření dodané kritickým orgánům, močovému měchýři, srdci a mozku: 52 </w:t>
      </w:r>
      <w:proofErr w:type="spellStart"/>
      <w:r w:rsidRPr="00D52650">
        <w:rPr>
          <w:color w:val="000000"/>
          <w:sz w:val="22"/>
          <w:szCs w:val="22"/>
          <w:lang w:val="cs-CZ"/>
        </w:rPr>
        <w:t>mGy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, 27 </w:t>
      </w:r>
      <w:proofErr w:type="spellStart"/>
      <w:r w:rsidRPr="00D52650">
        <w:rPr>
          <w:color w:val="000000"/>
          <w:sz w:val="22"/>
          <w:szCs w:val="22"/>
          <w:lang w:val="cs-CZ"/>
        </w:rPr>
        <w:t>mGy</w:t>
      </w:r>
      <w:proofErr w:type="spellEnd"/>
      <w:r w:rsidRPr="00D52650">
        <w:rPr>
          <w:color w:val="000000"/>
          <w:sz w:val="22"/>
          <w:szCs w:val="22"/>
          <w:lang w:val="cs-CZ"/>
        </w:rPr>
        <w:t xml:space="preserve"> a 15 </w:t>
      </w:r>
      <w:proofErr w:type="spellStart"/>
      <w:r w:rsidRPr="00D52650">
        <w:rPr>
          <w:color w:val="000000"/>
          <w:sz w:val="22"/>
          <w:szCs w:val="22"/>
          <w:lang w:val="cs-CZ"/>
        </w:rPr>
        <w:t>mGy</w:t>
      </w:r>
      <w:proofErr w:type="spellEnd"/>
      <w:r w:rsidRPr="00D52650">
        <w:rPr>
          <w:color w:val="000000"/>
          <w:sz w:val="22"/>
          <w:szCs w:val="22"/>
          <w:lang w:val="cs-CZ"/>
        </w:rPr>
        <w:t>, v uvedeném pořadí.</w:t>
      </w:r>
    </w:p>
    <w:p w14:paraId="5DD17A3A" w14:textId="77777777" w:rsidR="00CB53DE" w:rsidRPr="00D52650" w:rsidRDefault="00CB53DE" w:rsidP="00CB53DE">
      <w:pPr>
        <w:tabs>
          <w:tab w:val="left" w:pos="360"/>
        </w:tabs>
        <w:jc w:val="both"/>
        <w:rPr>
          <w:b/>
          <w:caps/>
          <w:color w:val="000000"/>
          <w:sz w:val="22"/>
          <w:szCs w:val="22"/>
          <w:lang w:val="cs-CZ"/>
        </w:rPr>
      </w:pPr>
    </w:p>
    <w:p w14:paraId="484AEBD2" w14:textId="77777777" w:rsidR="00CB53DE" w:rsidRPr="00D52650" w:rsidRDefault="00CB53DE" w:rsidP="00CB53DE">
      <w:pPr>
        <w:tabs>
          <w:tab w:val="left" w:pos="360"/>
        </w:tabs>
        <w:jc w:val="both"/>
        <w:rPr>
          <w:b/>
          <w:caps/>
          <w:color w:val="000000"/>
          <w:sz w:val="22"/>
          <w:szCs w:val="22"/>
          <w:lang w:val="cs-CZ"/>
        </w:rPr>
      </w:pPr>
    </w:p>
    <w:p w14:paraId="7D45C595" w14:textId="77777777" w:rsidR="00CB53DE" w:rsidRPr="00D52650" w:rsidRDefault="00CB53DE" w:rsidP="00CB53DE">
      <w:pPr>
        <w:tabs>
          <w:tab w:val="left" w:pos="360"/>
        </w:tabs>
        <w:jc w:val="both"/>
        <w:rPr>
          <w:b/>
          <w:caps/>
          <w:color w:val="000000"/>
          <w:sz w:val="22"/>
          <w:szCs w:val="22"/>
          <w:lang w:val="cs-CZ"/>
        </w:rPr>
      </w:pPr>
      <w:r w:rsidRPr="00D52650">
        <w:rPr>
          <w:b/>
          <w:caps/>
          <w:color w:val="000000"/>
          <w:sz w:val="22"/>
          <w:szCs w:val="22"/>
          <w:lang w:val="cs-CZ"/>
        </w:rPr>
        <w:t>12</w:t>
      </w:r>
      <w:r w:rsidRPr="00D52650">
        <w:rPr>
          <w:b/>
          <w:caps/>
          <w:color w:val="000000"/>
          <w:sz w:val="22"/>
          <w:szCs w:val="22"/>
          <w:lang w:val="cs-CZ"/>
        </w:rPr>
        <w:tab/>
        <w:t>NÁVOD PRO PŘÍPRAVU RADIOFARMAK</w:t>
      </w:r>
    </w:p>
    <w:p w14:paraId="78B9CD5A" w14:textId="77777777" w:rsidR="00CB53DE" w:rsidRPr="00D52650" w:rsidRDefault="00CB53DE" w:rsidP="00CB53DE">
      <w:pPr>
        <w:pStyle w:val="Textvysvetlivky"/>
        <w:tabs>
          <w:tab w:val="clear" w:pos="567"/>
          <w:tab w:val="left" w:pos="0"/>
          <w:tab w:val="left" w:pos="360"/>
        </w:tabs>
        <w:spacing w:before="0" w:after="0"/>
        <w:ind w:left="0" w:firstLine="0"/>
        <w:rPr>
          <w:b/>
          <w:szCs w:val="22"/>
          <w:lang w:val="cs-CZ"/>
        </w:rPr>
      </w:pPr>
    </w:p>
    <w:p w14:paraId="0B07E903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Balení musí být </w:t>
      </w:r>
      <w:r w:rsidRPr="00D52650">
        <w:rPr>
          <w:sz w:val="22"/>
          <w:szCs w:val="22"/>
          <w:lang w:val="cs-CZ"/>
        </w:rPr>
        <w:t>před použitím</w:t>
      </w:r>
      <w:r w:rsidRPr="00D52650">
        <w:rPr>
          <w:sz w:val="22"/>
          <w:szCs w:val="22"/>
          <w:lang w:val="cs-CZ" w:eastAsia="sk-SK"/>
        </w:rPr>
        <w:t xml:space="preserve"> zkontrolováno a aktivita </w:t>
      </w:r>
      <w:r w:rsidRPr="00D52650">
        <w:rPr>
          <w:sz w:val="22"/>
          <w:szCs w:val="22"/>
          <w:lang w:val="cs-CZ"/>
        </w:rPr>
        <w:t>musí být z</w:t>
      </w:r>
      <w:r w:rsidRPr="00D52650">
        <w:rPr>
          <w:sz w:val="22"/>
          <w:szCs w:val="22"/>
          <w:lang w:val="cs-CZ" w:eastAsia="sk-SK"/>
        </w:rPr>
        <w:t>měřena pomocí měřiče aktivity.</w:t>
      </w:r>
    </w:p>
    <w:p w14:paraId="4982E08C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Léčivý přípravek </w:t>
      </w:r>
      <w:r w:rsidRPr="00D52650">
        <w:rPr>
          <w:sz w:val="22"/>
          <w:szCs w:val="22"/>
          <w:lang w:val="cs-CZ"/>
        </w:rPr>
        <w:t>může být naředěn injekčním roztokem chloridu sodného 9 mg/ml</w:t>
      </w:r>
      <w:r w:rsidRPr="00D52650">
        <w:rPr>
          <w:sz w:val="22"/>
          <w:szCs w:val="22"/>
          <w:lang w:val="cs-CZ" w:eastAsia="sk-SK"/>
        </w:rPr>
        <w:t>.</w:t>
      </w:r>
    </w:p>
    <w:p w14:paraId="3CED2723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Natažení roztoku musí být provedeno za aseptických podmínek</w:t>
      </w:r>
      <w:r w:rsidRPr="00D52650">
        <w:rPr>
          <w:sz w:val="22"/>
          <w:szCs w:val="22"/>
          <w:lang w:val="cs-CZ" w:eastAsia="sk-SK"/>
        </w:rPr>
        <w:t xml:space="preserve">. </w:t>
      </w:r>
      <w:r w:rsidRPr="00D52650">
        <w:rPr>
          <w:sz w:val="22"/>
          <w:szCs w:val="22"/>
          <w:lang w:val="cs-CZ"/>
        </w:rPr>
        <w:t>Injekční lahvičky nesmí být otevřeny před dezinfekcí zátky, roztok by měl být natažen přes zátku pomocí injekční stříkačky na jednu dávku s vhodným ochranným krytím a pomocí sterilní jehly na jedno použití nebo schváleného automatizovaného systému pro podání.</w:t>
      </w:r>
    </w:p>
    <w:p w14:paraId="7103401B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  <w:r w:rsidRPr="00D52650">
        <w:rPr>
          <w:sz w:val="22"/>
          <w:szCs w:val="22"/>
          <w:lang w:val="cs-CZ" w:eastAsia="sk-SK"/>
        </w:rPr>
        <w:t xml:space="preserve">Je-li celistvost této lahvičky ohrožena, přípravek se </w:t>
      </w:r>
      <w:r w:rsidRPr="00D52650">
        <w:rPr>
          <w:sz w:val="22"/>
          <w:szCs w:val="22"/>
          <w:lang w:val="cs-CZ"/>
        </w:rPr>
        <w:t xml:space="preserve">nesmí </w:t>
      </w:r>
      <w:r w:rsidRPr="00D52650">
        <w:rPr>
          <w:sz w:val="22"/>
          <w:szCs w:val="22"/>
          <w:lang w:val="cs-CZ" w:eastAsia="sk-SK"/>
        </w:rPr>
        <w:t>použít.</w:t>
      </w:r>
    </w:p>
    <w:p w14:paraId="24BF3635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</w:p>
    <w:p w14:paraId="568F6665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u w:val="single"/>
          <w:lang w:val="cs-CZ" w:eastAsia="sk-SK"/>
        </w:rPr>
      </w:pPr>
      <w:r w:rsidRPr="00D52650">
        <w:rPr>
          <w:sz w:val="22"/>
          <w:szCs w:val="22"/>
          <w:u w:val="single"/>
          <w:lang w:val="cs-CZ" w:eastAsia="sk-SK"/>
        </w:rPr>
        <w:t>Kontrola kvality</w:t>
      </w:r>
    </w:p>
    <w:p w14:paraId="5658140C" w14:textId="77777777" w:rsidR="00CB53DE" w:rsidRPr="00D52650" w:rsidRDefault="00CB53DE" w:rsidP="00CB53DE">
      <w:pPr>
        <w:autoSpaceDE w:val="0"/>
        <w:autoSpaceDN w:val="0"/>
        <w:adjustRightInd w:val="0"/>
        <w:jc w:val="both"/>
        <w:rPr>
          <w:sz w:val="22"/>
          <w:szCs w:val="22"/>
          <w:lang w:val="cs-CZ" w:eastAsia="sk-SK"/>
        </w:rPr>
      </w:pPr>
    </w:p>
    <w:p w14:paraId="0C05E4A8" w14:textId="77777777" w:rsidR="00CB53DE" w:rsidRPr="00D52650" w:rsidRDefault="00CB53DE" w:rsidP="00CB53DE">
      <w:pPr>
        <w:jc w:val="both"/>
        <w:rPr>
          <w:sz w:val="22"/>
          <w:szCs w:val="22"/>
          <w:lang w:val="cs-CZ"/>
        </w:rPr>
      </w:pPr>
      <w:r w:rsidRPr="00D52650">
        <w:rPr>
          <w:sz w:val="22"/>
          <w:szCs w:val="22"/>
          <w:lang w:val="cs-CZ"/>
        </w:rPr>
        <w:t>Roztok se musí před použitím vizuálně zkontrolovat. Používat se smí pouze čirý roztok bez viditelných částic.</w:t>
      </w:r>
      <w:r w:rsidRPr="00D52650" w:rsidDel="008C208F">
        <w:rPr>
          <w:sz w:val="22"/>
          <w:szCs w:val="22"/>
          <w:lang w:val="cs-CZ"/>
        </w:rPr>
        <w:t xml:space="preserve"> </w:t>
      </w:r>
    </w:p>
    <w:p w14:paraId="5921C1C5" w14:textId="77777777" w:rsidR="00CB53DE" w:rsidRPr="00D52650" w:rsidRDefault="00CB53DE" w:rsidP="00CB53DE">
      <w:pPr>
        <w:jc w:val="center"/>
        <w:rPr>
          <w:sz w:val="22"/>
          <w:szCs w:val="22"/>
          <w:lang w:val="cs-CZ"/>
        </w:rPr>
      </w:pPr>
    </w:p>
    <w:p w14:paraId="7F137A01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293C7798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0FC4C62F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0AF3A2E3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3FBC9F94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4242C4AF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16805833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54C46236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0CF8889D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359D9E17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7AC6B4E3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3416752E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5C9A4458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253CCD9F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28A90496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7721AE54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6229C36D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773B10A0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2FF9B6C6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19E58C18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163C371C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1F1ADE1A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64C7565F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4E496CED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71E4A7F2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6C0BE5AC" w14:textId="77777777" w:rsidR="00CB53DE" w:rsidRPr="00D52650" w:rsidRDefault="00CB53DE" w:rsidP="00CB53DE">
      <w:pPr>
        <w:rPr>
          <w:sz w:val="22"/>
          <w:szCs w:val="22"/>
          <w:lang w:val="cs-CZ"/>
        </w:rPr>
      </w:pPr>
    </w:p>
    <w:p w14:paraId="59CBE2BB" w14:textId="77777777" w:rsidR="00D9717B" w:rsidRDefault="00D9717B"/>
    <w:sectPr w:rsidR="00D971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836D3"/>
    <w:multiLevelType w:val="multilevel"/>
    <w:tmpl w:val="EC5647CA"/>
    <w:lvl w:ilvl="0">
      <w:start w:val="4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5122D58"/>
    <w:multiLevelType w:val="multilevel"/>
    <w:tmpl w:val="A072CA7A"/>
    <w:lvl w:ilvl="0">
      <w:start w:val="4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578A2492"/>
    <w:multiLevelType w:val="hybridMultilevel"/>
    <w:tmpl w:val="0A1C11EA"/>
    <w:lvl w:ilvl="0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CCE5F10"/>
    <w:multiLevelType w:val="hybridMultilevel"/>
    <w:tmpl w:val="52BC75FA"/>
    <w:lvl w:ilvl="0" w:tplc="B87E273A">
      <w:start w:val="1"/>
      <w:numFmt w:val="bullet"/>
      <w:lvlText w:val=""/>
      <w:lvlJc w:val="left"/>
      <w:pPr>
        <w:tabs>
          <w:tab w:val="num" w:pos="851"/>
        </w:tabs>
        <w:ind w:left="851" w:hanging="171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00491767">
    <w:abstractNumId w:val="2"/>
  </w:num>
  <w:num w:numId="2" w16cid:durableId="1382629800">
    <w:abstractNumId w:val="3"/>
  </w:num>
  <w:num w:numId="3" w16cid:durableId="60687508">
    <w:abstractNumId w:val="0"/>
  </w:num>
  <w:num w:numId="4" w16cid:durableId="11567266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3DE"/>
    <w:rsid w:val="005315F7"/>
    <w:rsid w:val="00C32164"/>
    <w:rsid w:val="00CB53DE"/>
    <w:rsid w:val="00D9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1B325"/>
  <w15:chartTrackingRefBased/>
  <w15:docId w15:val="{76EF95A3-2FBC-4965-95A1-00E63508D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B53DE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val="en-GB" w:eastAsia="fr-FR"/>
      <w14:ligatures w14:val="none"/>
    </w:rPr>
  </w:style>
  <w:style w:type="paragraph" w:styleId="Nadpis1">
    <w:name w:val="heading 1"/>
    <w:basedOn w:val="Normlny"/>
    <w:next w:val="Normlny"/>
    <w:link w:val="Nadpis1Char"/>
    <w:uiPriority w:val="1"/>
    <w:qFormat/>
    <w:rsid w:val="00CB53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B53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B53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B53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B53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B53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B53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B53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B53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CB53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B53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B53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B53D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B53D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B53D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B53D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B53D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B53D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B53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B53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B53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B53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B53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B53D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B53D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B53DE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B53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B53DE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B53DE"/>
    <w:rPr>
      <w:b/>
      <w:bCs/>
      <w:smallCaps/>
      <w:color w:val="0F4761" w:themeColor="accent1" w:themeShade="BF"/>
      <w:spacing w:val="5"/>
    </w:rPr>
  </w:style>
  <w:style w:type="paragraph" w:styleId="Zkladntext">
    <w:name w:val="Body Text"/>
    <w:basedOn w:val="Normlny"/>
    <w:link w:val="ZkladntextChar"/>
    <w:uiPriority w:val="1"/>
    <w:qFormat/>
    <w:rsid w:val="00CB53DE"/>
    <w:rPr>
      <w:b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CB53DE"/>
    <w:rPr>
      <w:rFonts w:ascii="Times New Roman" w:eastAsia="Times New Roman" w:hAnsi="Times New Roman" w:cs="Times New Roman"/>
      <w:b/>
      <w:kern w:val="0"/>
      <w:szCs w:val="20"/>
      <w:lang w:val="en-GB"/>
      <w14:ligatures w14:val="none"/>
    </w:rPr>
  </w:style>
  <w:style w:type="paragraph" w:styleId="Textvysvetlivky">
    <w:name w:val="endnote text"/>
    <w:basedOn w:val="Normlny"/>
    <w:link w:val="TextvysvetlivkyChar"/>
    <w:semiHidden/>
    <w:rsid w:val="00CB53DE"/>
    <w:pPr>
      <w:tabs>
        <w:tab w:val="left" w:pos="567"/>
      </w:tabs>
      <w:spacing w:before="120" w:after="60"/>
      <w:ind w:left="567" w:hanging="567"/>
      <w:jc w:val="both"/>
    </w:pPr>
    <w:rPr>
      <w:sz w:val="22"/>
    </w:rPr>
  </w:style>
  <w:style w:type="character" w:customStyle="1" w:styleId="TextvysvetlivkyChar">
    <w:name w:val="Text vysvetlivky Char"/>
    <w:basedOn w:val="Predvolenpsmoodseku"/>
    <w:link w:val="Textvysvetlivky"/>
    <w:semiHidden/>
    <w:rsid w:val="00CB53DE"/>
    <w:rPr>
      <w:rFonts w:ascii="Times New Roman" w:eastAsia="Times New Roman" w:hAnsi="Times New Roman" w:cs="Times New Roman"/>
      <w:kern w:val="0"/>
      <w:sz w:val="22"/>
      <w:szCs w:val="20"/>
      <w:lang w:val="en-GB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ma.europa.eu/docs/en_GB/document_library/Template_or_form/2013/03/WC500139752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3528</Words>
  <Characters>20115</Characters>
  <Application>Microsoft Office Word</Application>
  <DocSecurity>0</DocSecurity>
  <Lines>167</Lines>
  <Paragraphs>47</Paragraphs>
  <ScaleCrop>false</ScaleCrop>
  <Company/>
  <LinksUpToDate>false</LinksUpToDate>
  <CharactersWithSpaces>23596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marosz</dc:creator>
  <cp:keywords/>
  <dc:description/>
  <cp:lastModifiedBy>marosz</cp:lastModifiedBy>
  <cp:revision>1</cp:revision>
  <dcterms:created xsi:type="dcterms:W3CDTF">2026-02-05T08:27:00Z</dcterms:created>
  <dcterms:modified xsi:type="dcterms:W3CDTF">2026-02-05T08:28:00Z</dcterms:modified>
</cp:coreProperties>
</file>