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7635D" w14:textId="77777777" w:rsidR="00897AA4" w:rsidRDefault="00897AA4" w:rsidP="00897AA4">
      <w:pPr>
        <w:spacing w:after="0" w:line="240" w:lineRule="auto"/>
        <w:jc w:val="center"/>
        <w:rPr>
          <w:rFonts w:ascii="Times New Roman" w:eastAsia="Calibri" w:hAnsi="Times New Roman" w:cs="Calibri"/>
          <w:b/>
          <w:color w:val="000000"/>
          <w:spacing w:val="-1"/>
          <w:kern w:val="0"/>
          <w:sz w:val="22"/>
          <w:szCs w:val="22"/>
          <w:lang w:eastAsia="sk-SK"/>
          <w14:ligatures w14:val="none"/>
        </w:rPr>
      </w:pPr>
      <w:bookmarkStart w:id="0" w:name="_Hlk55213094"/>
    </w:p>
    <w:p w14:paraId="2C891699" w14:textId="0826A3D2" w:rsidR="00934730" w:rsidRDefault="00934730" w:rsidP="00897AA4">
      <w:pPr>
        <w:spacing w:after="0" w:line="240" w:lineRule="auto"/>
        <w:jc w:val="center"/>
        <w:rPr>
          <w:rFonts w:ascii="Times New Roman" w:eastAsia="Calibri" w:hAnsi="Times New Roman" w:cs="Calibri"/>
          <w:b/>
          <w:color w:val="000000"/>
          <w:spacing w:val="-1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Calibri"/>
          <w:b/>
          <w:color w:val="000000"/>
          <w:spacing w:val="-1"/>
          <w:kern w:val="0"/>
          <w:sz w:val="22"/>
          <w:szCs w:val="22"/>
          <w:lang w:eastAsia="sk-SK"/>
          <w14:ligatures w14:val="none"/>
        </w:rPr>
        <w:t>SÚHRN CHARAKTERISTICKÝCH</w:t>
      </w:r>
      <w:r w:rsidRPr="00B85990">
        <w:rPr>
          <w:rFonts w:ascii="Times New Roman" w:eastAsia="Calibri" w:hAnsi="Times New Roman" w:cs="Calibri"/>
          <w:b/>
          <w:color w:val="000000"/>
          <w:spacing w:val="1"/>
          <w:kern w:val="0"/>
          <w:sz w:val="22"/>
          <w:szCs w:val="22"/>
          <w:lang w:eastAsia="sk-SK"/>
          <w14:ligatures w14:val="none"/>
        </w:rPr>
        <w:t xml:space="preserve"> </w:t>
      </w:r>
      <w:r w:rsidRPr="00B85990">
        <w:rPr>
          <w:rFonts w:ascii="Times New Roman" w:eastAsia="Calibri" w:hAnsi="Times New Roman" w:cs="Calibri"/>
          <w:b/>
          <w:color w:val="000000"/>
          <w:spacing w:val="-1"/>
          <w:kern w:val="0"/>
          <w:sz w:val="22"/>
          <w:szCs w:val="22"/>
          <w:lang w:eastAsia="sk-SK"/>
          <w14:ligatures w14:val="none"/>
        </w:rPr>
        <w:t>VLASTNOSTÍ</w:t>
      </w:r>
      <w:r w:rsidRPr="00B85990">
        <w:rPr>
          <w:rFonts w:ascii="Times New Roman" w:eastAsia="Calibri" w:hAnsi="Times New Roman" w:cs="Calibri"/>
          <w:b/>
          <w:color w:val="000000"/>
          <w:kern w:val="0"/>
          <w:sz w:val="22"/>
          <w:szCs w:val="22"/>
          <w:lang w:eastAsia="sk-SK"/>
          <w14:ligatures w14:val="none"/>
        </w:rPr>
        <w:t xml:space="preserve"> </w:t>
      </w:r>
      <w:r w:rsidRPr="00B85990">
        <w:rPr>
          <w:rFonts w:ascii="Times New Roman" w:eastAsia="Calibri" w:hAnsi="Times New Roman" w:cs="Calibri"/>
          <w:b/>
          <w:color w:val="000000"/>
          <w:spacing w:val="-1"/>
          <w:kern w:val="0"/>
          <w:sz w:val="22"/>
          <w:szCs w:val="22"/>
          <w:lang w:eastAsia="sk-SK"/>
          <w14:ligatures w14:val="none"/>
        </w:rPr>
        <w:t>LIEKU</w:t>
      </w:r>
    </w:p>
    <w:p w14:paraId="3D3FF951" w14:textId="77777777" w:rsidR="00897AA4" w:rsidRDefault="00897AA4" w:rsidP="00897AA4">
      <w:pPr>
        <w:spacing w:after="0" w:line="240" w:lineRule="auto"/>
        <w:rPr>
          <w:rFonts w:ascii="Times New Roman" w:eastAsia="Calibri" w:hAnsi="Times New Roman" w:cs="Calibri"/>
          <w:b/>
          <w:color w:val="000000"/>
          <w:spacing w:val="-1"/>
          <w:kern w:val="0"/>
          <w:sz w:val="22"/>
          <w:szCs w:val="22"/>
          <w:lang w:eastAsia="sk-SK"/>
          <w14:ligatures w14:val="none"/>
        </w:rPr>
      </w:pPr>
    </w:p>
    <w:p w14:paraId="017E828B" w14:textId="77777777" w:rsidR="00897AA4" w:rsidRPr="00B85990" w:rsidRDefault="00897AA4" w:rsidP="00897AA4">
      <w:pPr>
        <w:spacing w:after="0" w:line="240" w:lineRule="auto"/>
        <w:rPr>
          <w:rFonts w:ascii="Times New Roman" w:eastAsia="Calibri" w:hAnsi="Times New Roman" w:cs="Calibri"/>
          <w:b/>
          <w:color w:val="000000"/>
          <w:spacing w:val="-1"/>
          <w:kern w:val="0"/>
          <w:sz w:val="22"/>
          <w:szCs w:val="22"/>
          <w:lang w:eastAsia="sk-SK"/>
          <w14:ligatures w14:val="none"/>
        </w:rPr>
      </w:pPr>
    </w:p>
    <w:p w14:paraId="2234B889" w14:textId="683E4527" w:rsidR="00934730" w:rsidRPr="00B85990" w:rsidRDefault="00934730" w:rsidP="00897AA4">
      <w:pPr>
        <w:pStyle w:val="Nadpis1"/>
        <w:spacing w:before="0" w:after="0"/>
      </w:pPr>
      <w:r w:rsidRPr="00B85990">
        <w:t>1.</w:t>
      </w:r>
      <w:r w:rsidRPr="00B85990">
        <w:tab/>
        <w:t>NÁZOV LIEKU</w:t>
      </w:r>
    </w:p>
    <w:p w14:paraId="5B982826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77492579" w14:textId="60CD4DF4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bookmarkStart w:id="1" w:name="_Hlk112146858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Fluorodopa (18F) Biont </w:t>
      </w:r>
    </w:p>
    <w:p w14:paraId="4C2F93D5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bookmarkStart w:id="2" w:name="_Hlk112148396"/>
      <w:bookmarkEnd w:id="1"/>
      <w:r w:rsidRPr="00B85990">
        <w:rPr>
          <w:rFonts w:ascii="Times New Roman" w:eastAsia="Calibri" w:hAnsi="Times New Roman" w:cs="Calibri"/>
          <w:color w:val="000000"/>
          <w:kern w:val="0"/>
          <w:sz w:val="22"/>
          <w:szCs w:val="22"/>
          <w:lang w:eastAsia="sk-SK"/>
          <w14:ligatures w14:val="none"/>
        </w:rPr>
        <w:t xml:space="preserve">880 – 7 000 MBq/ml </w:t>
      </w:r>
      <w:bookmarkEnd w:id="2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injekčný roztok</w:t>
      </w:r>
    </w:p>
    <w:p w14:paraId="3FE51615" w14:textId="77777777" w:rsidR="0093473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5B0455D1" w14:textId="77777777" w:rsidR="00897AA4" w:rsidRPr="00B85990" w:rsidRDefault="00897AA4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528CF53A" w14:textId="54A565C6" w:rsidR="00934730" w:rsidRPr="00B85990" w:rsidRDefault="00934730" w:rsidP="00897AA4">
      <w:pPr>
        <w:pStyle w:val="Nadpis1"/>
        <w:spacing w:before="0" w:after="0"/>
        <w:rPr>
          <w:rFonts w:eastAsia="Times New Roman"/>
          <w:lang w:eastAsia="sk-SK"/>
        </w:rPr>
      </w:pPr>
      <w:r w:rsidRPr="00B85990">
        <w:rPr>
          <w:rFonts w:eastAsia="Times New Roman"/>
          <w:lang w:eastAsia="sk-SK"/>
        </w:rPr>
        <w:t>2.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KVALITATÍVNE A KVANTITATÍVNE ZLOŽENIE</w:t>
      </w:r>
    </w:p>
    <w:p w14:paraId="04A8847F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4FEFA81E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Jeden ml obsahuje </w:t>
      </w:r>
      <w:r w:rsidRPr="00B85990">
        <w:rPr>
          <w:rFonts w:ascii="Times New Roman" w:eastAsia="Calibri" w:hAnsi="Times New Roman" w:cs="Calibri"/>
          <w:color w:val="000000"/>
          <w:kern w:val="0"/>
          <w:sz w:val="22"/>
          <w:szCs w:val="22"/>
          <w:lang w:eastAsia="sk-SK"/>
          <w14:ligatures w14:val="none"/>
        </w:rPr>
        <w:t xml:space="preserve">880 – 7 000 MBq/ml </w:t>
      </w:r>
      <w:bookmarkStart w:id="3" w:name="_Hlk112150171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fluórdopy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F) </w:t>
      </w:r>
      <w:bookmarkEnd w:id="3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k 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dátumu a času kalibrácie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.</w:t>
      </w:r>
    </w:p>
    <w:p w14:paraId="381178A4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Aktivita v injekčnej liekovke sa pohybuje od 176 MBq do 70 000 MBq 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k 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dátumu a času kalibrácie.</w:t>
      </w:r>
    </w:p>
    <w:p w14:paraId="114DFB15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Celková aktivita injekčnej liekovky sa pohybuje od 176 MBq do 70 000 MBq k dátumu a času kalibrácie.</w:t>
      </w:r>
    </w:p>
    <w:p w14:paraId="77A5FD63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Rádionuklid fluór (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F) sa premieňa na stabilný kyslík (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O) s polčasom premeny 110 minút emitovaním pozitrónov s maximálnou energiou 634 </w:t>
      </w: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keV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s následnou </w:t>
      </w: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anihiláciou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fotónov s energiou 511 </w:t>
      </w: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keV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.  </w:t>
      </w:r>
    </w:p>
    <w:p w14:paraId="35F6B7FA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54FCB2C8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  <w:t xml:space="preserve">Pomocné látky so známym účinkom: </w:t>
      </w:r>
    </w:p>
    <w:p w14:paraId="7D638F00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Tento liek obsahuje malé množstvo etanolu, menej než 100 mg v jednej dávke. </w:t>
      </w:r>
    </w:p>
    <w:p w14:paraId="6F71E5DD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Tento liek obsahuje 1,5 mmol sodíka v maximálnej odporúčanej dávke.</w:t>
      </w:r>
    </w:p>
    <w:p w14:paraId="7F8C3AA7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41B3241C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Úplný zoznam pomocných látok, pozri časť 6.1. </w:t>
      </w:r>
    </w:p>
    <w:p w14:paraId="2B75A26F" w14:textId="77777777" w:rsidR="0093473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68981258" w14:textId="77777777" w:rsidR="00897AA4" w:rsidRPr="00B85990" w:rsidRDefault="00897AA4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5AE55843" w14:textId="07E76990" w:rsidR="00934730" w:rsidRPr="00B85990" w:rsidRDefault="00934730" w:rsidP="00897AA4">
      <w:pPr>
        <w:pStyle w:val="Nadpis1"/>
        <w:spacing w:before="0" w:after="0"/>
        <w:rPr>
          <w:rFonts w:eastAsia="Times New Roman"/>
          <w:lang w:eastAsia="sk-SK"/>
        </w:rPr>
      </w:pPr>
      <w:r w:rsidRPr="00B85990">
        <w:rPr>
          <w:rFonts w:eastAsia="Times New Roman"/>
          <w:lang w:eastAsia="sk-SK"/>
        </w:rPr>
        <w:t>3.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LIEKOVÁ FORMA</w:t>
      </w:r>
    </w:p>
    <w:p w14:paraId="2B77D74F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2F8BCACA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Injekčný roztok.</w:t>
      </w:r>
    </w:p>
    <w:p w14:paraId="20EF801A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Číry, bezfarebný roztok. Bez viditeľných častíc.</w:t>
      </w:r>
    </w:p>
    <w:p w14:paraId="14AEE345" w14:textId="66568FAE" w:rsidR="00934730" w:rsidRDefault="00934730" w:rsidP="00897AA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4E1D8FD6" w14:textId="77777777" w:rsidR="00897AA4" w:rsidRPr="00B85990" w:rsidRDefault="00897AA4" w:rsidP="00897AA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190E1EB3" w14:textId="42C4124D" w:rsidR="00934730" w:rsidRPr="00B85990" w:rsidRDefault="00934730" w:rsidP="00897AA4">
      <w:pPr>
        <w:pStyle w:val="Nadpis1"/>
        <w:spacing w:before="0" w:after="0"/>
        <w:rPr>
          <w:rFonts w:eastAsia="Times New Roman"/>
          <w:lang w:eastAsia="sk-SK"/>
        </w:rPr>
      </w:pPr>
      <w:r w:rsidRPr="00B85990">
        <w:rPr>
          <w:rFonts w:eastAsia="Times New Roman"/>
          <w:lang w:eastAsia="sk-SK"/>
        </w:rPr>
        <w:t>4.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KLINICKÉ ÚDAJE</w:t>
      </w:r>
    </w:p>
    <w:p w14:paraId="78D72763" w14:textId="77777777" w:rsidR="00897AA4" w:rsidRDefault="00897AA4" w:rsidP="00897AA4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4DBC872D" w14:textId="76FEE558" w:rsidR="00934730" w:rsidRPr="00B85990" w:rsidRDefault="00934730" w:rsidP="00897AA4">
      <w:pPr>
        <w:pStyle w:val="Nadpis2"/>
        <w:spacing w:before="0" w:after="0"/>
      </w:pPr>
      <w:r w:rsidRPr="00B85990">
        <w:t>4.1</w:t>
      </w:r>
      <w:r w:rsidRPr="00B85990">
        <w:tab/>
        <w:t>Terapeutické indikácie</w:t>
      </w:r>
    </w:p>
    <w:p w14:paraId="0BCFE859" w14:textId="77777777" w:rsidR="00897AA4" w:rsidRDefault="00897AA4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549AB47F" w14:textId="211DB5B0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Tento liek je určený len na diagnostické použitie. </w:t>
      </w:r>
    </w:p>
    <w:p w14:paraId="4E0B3C3C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Fluórdopa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F) je 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indikovaná na použitie s pozitrónovou emisnou tomografiou (PET)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u dospelých a v pediatrickej populácii.</w:t>
      </w:r>
    </w:p>
    <w:p w14:paraId="2012AA4F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071C4A61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/>
          <w14:ligatures w14:val="none"/>
        </w:rPr>
        <w:t>Neurológia</w:t>
      </w:r>
    </w:p>
    <w:p w14:paraId="635E2F1F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PET s fluórdopou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F) je indikovaná na detekciu straty funkčných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dopamínergických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neurónových terminálov v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striate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. Môže byť použitá na diagnostiku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Parkinsonovej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choroby a rozlíšenie medzi esenciálnym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trasom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a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parkinsonickými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syndrómami.</w:t>
      </w:r>
    </w:p>
    <w:p w14:paraId="2F42A7D5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2B2D5B9D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/>
          <w14:ligatures w14:val="none"/>
        </w:rPr>
        <w:t>Onkológia</w:t>
      </w:r>
    </w:p>
    <w:p w14:paraId="06206996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Medzi lekárskymi zobrazovacími modalitami poskytuje PET s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fluúordopou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F) funkčný prístup patológií, orgánov alebo tkanív, keď je diagnostickým cieľom zvýšený intracelulárny transport a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dekarboxylácia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aminokyseliny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dihydroxyfenylalanínu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. Zvlášť boli zdokumentované nasledujúce indikácie:</w:t>
      </w:r>
    </w:p>
    <w:p w14:paraId="247F40EA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40EA04EF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szCs w:val="22"/>
          <w:lang w:eastAsia="sk-SK"/>
          <w14:ligatures w14:val="none"/>
        </w:rPr>
        <w:t>Diagnóza</w:t>
      </w:r>
    </w:p>
    <w:p w14:paraId="6CCC19F1" w14:textId="77777777" w:rsidR="00934730" w:rsidRPr="00B85990" w:rsidRDefault="00934730" w:rsidP="0093473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Diagnostika a lokalizácia fokálnej hyperplázie buniek beta ostrovčekov v prípade hyperinzulinizmu u dojčiat a detí</w:t>
      </w:r>
    </w:p>
    <w:p w14:paraId="6D0C1993" w14:textId="77777777" w:rsidR="00934730" w:rsidRPr="00B85990" w:rsidRDefault="00934730" w:rsidP="0093473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Diagnostika a lokalizácia paragangliómov u pacientov s mutáciou génu sukcinátdehydrogenázy podjednotky D</w:t>
      </w:r>
    </w:p>
    <w:p w14:paraId="043E1351" w14:textId="77777777" w:rsidR="00934730" w:rsidRPr="00B85990" w:rsidRDefault="00934730" w:rsidP="0093473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Lokalizácia feochromocytómu</w:t>
      </w:r>
    </w:p>
    <w:p w14:paraId="5C77C817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7A440700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szCs w:val="22"/>
          <w:lang w:eastAsia="sk-SK"/>
          <w14:ligatures w14:val="none"/>
        </w:rPr>
      </w:pPr>
      <w:proofErr w:type="spellStart"/>
      <w:r w:rsidRPr="00B85990"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szCs w:val="22"/>
          <w:lang w:eastAsia="sk-SK"/>
          <w14:ligatures w14:val="none"/>
        </w:rPr>
        <w:t>Staging</w:t>
      </w:r>
      <w:proofErr w:type="spellEnd"/>
    </w:p>
    <w:p w14:paraId="1ECD7361" w14:textId="77777777" w:rsidR="00934730" w:rsidRPr="00B85990" w:rsidRDefault="00934730" w:rsidP="0093473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Feochromocytóm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a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paraganglióm</w:t>
      </w:r>
      <w:proofErr w:type="spellEnd"/>
    </w:p>
    <w:p w14:paraId="4AD004C3" w14:textId="77777777" w:rsidR="00934730" w:rsidRPr="00B85990" w:rsidRDefault="00934730" w:rsidP="0093473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Dobre diferencované neuroendokrinné nádory stredného čreva (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jejunum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,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ileum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,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ileocekálna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chlopňa, slepé črevo, vzostupný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tračník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)</w:t>
      </w:r>
    </w:p>
    <w:p w14:paraId="29539358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06485D08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szCs w:val="22"/>
          <w:lang w:eastAsia="sk-SK"/>
          <w14:ligatures w14:val="none"/>
        </w:rPr>
        <w:t>Detekcia v prípade dôvodného podozrenia na recidívu alebo zvyškové ochorenie</w:t>
      </w:r>
    </w:p>
    <w:p w14:paraId="2125A904" w14:textId="77777777" w:rsidR="00934730" w:rsidRPr="00B85990" w:rsidRDefault="00934730" w:rsidP="0093473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Primárne mozgové nádory všetkých stupňov diferenciácie</w:t>
      </w:r>
    </w:p>
    <w:p w14:paraId="3CD1BF44" w14:textId="77777777" w:rsidR="00934730" w:rsidRPr="00B85990" w:rsidRDefault="00934730" w:rsidP="0093473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Feochromocytóm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a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paraganglióm</w:t>
      </w:r>
      <w:proofErr w:type="spellEnd"/>
    </w:p>
    <w:p w14:paraId="55A3721D" w14:textId="77777777" w:rsidR="00934730" w:rsidRPr="00B85990" w:rsidRDefault="00934730" w:rsidP="0093473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Medulárny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karcinóm štítnej žľazy so zvýšenými sérovými koncentráciami kalcitonínu</w:t>
      </w:r>
    </w:p>
    <w:p w14:paraId="7A5D9747" w14:textId="77777777" w:rsidR="00934730" w:rsidRPr="00B85990" w:rsidRDefault="00934730" w:rsidP="0093473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Dobre diferencované neuroendokrinné nádory stredného čreva (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jejunum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,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ileum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,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ileocekálna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chlopňa, slepé črevo, vzostupný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tračník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)</w:t>
      </w:r>
    </w:p>
    <w:p w14:paraId="73816957" w14:textId="77777777" w:rsidR="00934730" w:rsidRPr="00B85990" w:rsidRDefault="00934730" w:rsidP="0093473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Iné endokrinné nádory tráviaceho traktu, ak je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scintigrafia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somatostatínových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receptorov negatívna</w:t>
      </w:r>
    </w:p>
    <w:p w14:paraId="46B313D5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5F0CBB80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b/>
          <w:bCs/>
          <w:color w:val="000000"/>
          <w:kern w:val="0"/>
          <w:sz w:val="22"/>
          <w:szCs w:val="22"/>
          <w:lang w:eastAsia="sk-SK"/>
          <w14:ligatures w14:val="none"/>
        </w:rPr>
        <w:t>Psychiatria</w:t>
      </w:r>
    </w:p>
    <w:p w14:paraId="068217A3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Detekcia kapacity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striatálnej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syntézy dopamínu pre diferenciálnu diagnostiku schizofrénie a predikciu vhodnosti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antipsychotickej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liečby.</w:t>
      </w:r>
    </w:p>
    <w:p w14:paraId="47D17E8A" w14:textId="77777777" w:rsidR="0093473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4AF0420F" w14:textId="51A67ABE" w:rsidR="00934730" w:rsidRPr="00B85990" w:rsidRDefault="00934730" w:rsidP="009A0164">
      <w:pPr>
        <w:pStyle w:val="Nadpis2"/>
        <w:spacing w:before="0" w:after="0"/>
        <w:rPr>
          <w:rFonts w:eastAsia="Calibri"/>
          <w:lang w:eastAsia="sk-SK"/>
        </w:rPr>
      </w:pPr>
      <w:r w:rsidRPr="00B85990">
        <w:rPr>
          <w:rFonts w:eastAsia="Times New Roman"/>
          <w:lang w:eastAsia="sk-SK"/>
        </w:rPr>
        <w:t>4.2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Dávkovanie a spôsob podávania</w:t>
      </w:r>
    </w:p>
    <w:p w14:paraId="5336A976" w14:textId="77777777" w:rsidR="009A0164" w:rsidRDefault="009A0164" w:rsidP="00934730">
      <w:pPr>
        <w:keepNext/>
        <w:keepLines/>
        <w:spacing w:after="0" w:line="240" w:lineRule="auto"/>
        <w:outlineLvl w:val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val="single" w:color="000000"/>
          <w:lang w:eastAsia="sk-SK"/>
          <w14:ligatures w14:val="none"/>
        </w:rPr>
      </w:pPr>
    </w:p>
    <w:p w14:paraId="7E230FB0" w14:textId="6B8472D8" w:rsidR="00934730" w:rsidRPr="00B85990" w:rsidRDefault="00934730" w:rsidP="00934730">
      <w:pPr>
        <w:keepNext/>
        <w:keepLines/>
        <w:spacing w:after="0" w:line="240" w:lineRule="auto"/>
        <w:outlineLvl w:val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val="single" w:color="000000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val="single" w:color="000000"/>
          <w:lang w:eastAsia="sk-SK"/>
          <w14:ligatures w14:val="none"/>
        </w:rPr>
        <w:t>Dávkovanie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color="000000"/>
          <w:lang w:eastAsia="sk-SK"/>
          <w14:ligatures w14:val="none"/>
        </w:rPr>
        <w:t xml:space="preserve"> </w:t>
      </w:r>
    </w:p>
    <w:p w14:paraId="221DD5C4" w14:textId="77777777" w:rsidR="00934730" w:rsidRPr="00B85990" w:rsidRDefault="00934730" w:rsidP="00934730">
      <w:pPr>
        <w:keepNext/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6D9E795F" w14:textId="77777777" w:rsidR="00934730" w:rsidRPr="00B85990" w:rsidRDefault="00934730" w:rsidP="00934730">
      <w:pPr>
        <w:spacing w:line="315" w:lineRule="exact"/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szCs w:val="22"/>
          <w:lang w:eastAsia="sk-SK"/>
          <w14:ligatures w14:val="none"/>
        </w:rPr>
        <w:t>Pediatrická populácia</w:t>
      </w:r>
    </w:p>
    <w:p w14:paraId="73A3220D" w14:textId="77777777" w:rsidR="00934730" w:rsidRPr="00B85990" w:rsidRDefault="00934730" w:rsidP="00934730">
      <w:pPr>
        <w:spacing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cs-CZ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Použitie u detí a dospievajúcich sa musí starostlivo zvážiť na základe klinických potrieb a posúdenia pomeru rizika a prínosu v tejto skupine pacientov. Aktivity, ktoré majú byť podávané deťom a dospievajúcim, možno vypočítať podľa odporúčania pediatrickej dávkovacej karty Európskej asociácie nukleárnej medicíny (EANM):</w:t>
      </w:r>
    </w:p>
    <w:p w14:paraId="545E4655" w14:textId="77777777" w:rsidR="00934730" w:rsidRPr="00B85990" w:rsidRDefault="00934730" w:rsidP="00934730">
      <w:pPr>
        <w:numPr>
          <w:ilvl w:val="0"/>
          <w:numId w:val="4"/>
        </w:numPr>
        <w:spacing w:after="0" w:line="219" w:lineRule="auto"/>
        <w:ind w:right="20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cs-CZ"/>
          <w14:ligatures w14:val="none"/>
        </w:rPr>
      </w:pPr>
      <w:r w:rsidRPr="00B85990">
        <w:rPr>
          <w:rFonts w:ascii="Times New Roman" w:eastAsia="Times New Roman" w:hAnsi="Times New Roman" w:cs="Times New Roman"/>
          <w:kern w:val="0"/>
          <w:sz w:val="22"/>
          <w:szCs w:val="22"/>
          <w:lang w:eastAsia="cs-CZ"/>
          <w14:ligatures w14:val="none"/>
        </w:rPr>
        <w:t xml:space="preserve">dôrazne sa odporúča režim snímania PET 3D s použitím nasledujúceho vzorca: podaná aktivita [MBq] = 14 x </w:t>
      </w:r>
      <w:proofErr w:type="spellStart"/>
      <w:r w:rsidRPr="00B85990">
        <w:rPr>
          <w:rFonts w:ascii="Times New Roman" w:eastAsia="Times New Roman" w:hAnsi="Times New Roman" w:cs="Times New Roman"/>
          <w:kern w:val="0"/>
          <w:sz w:val="22"/>
          <w:szCs w:val="22"/>
          <w:lang w:eastAsia="cs-CZ"/>
          <w14:ligatures w14:val="none"/>
        </w:rPr>
        <w:t>multiplikačný</w:t>
      </w:r>
      <w:proofErr w:type="spellEnd"/>
      <w:r w:rsidRPr="00B85990">
        <w:rPr>
          <w:rFonts w:ascii="Times New Roman" w:eastAsia="Times New Roman" w:hAnsi="Times New Roman" w:cs="Times New Roman"/>
          <w:kern w:val="0"/>
          <w:sz w:val="22"/>
          <w:szCs w:val="22"/>
          <w:lang w:eastAsia="cs-CZ"/>
          <w14:ligatures w14:val="none"/>
        </w:rPr>
        <w:t xml:space="preserve"> faktor (uvedený v tabuľke nižšie), minimálna aktivita = 14 MBq</w:t>
      </w:r>
    </w:p>
    <w:p w14:paraId="3FBCFD3A" w14:textId="77777777" w:rsidR="00934730" w:rsidRPr="00B85990" w:rsidRDefault="00934730" w:rsidP="00934730">
      <w:pPr>
        <w:spacing w:after="0" w:line="219" w:lineRule="auto"/>
        <w:ind w:right="20"/>
        <w:rPr>
          <w:rFonts w:ascii="Times New Roman" w:eastAsia="Times New Roman" w:hAnsi="Times New Roman" w:cs="Times New Roman"/>
          <w:kern w:val="0"/>
          <w:sz w:val="22"/>
          <w:szCs w:val="22"/>
          <w:lang w:eastAsia="cs-CZ"/>
          <w14:ligatures w14:val="none"/>
        </w:rPr>
      </w:pPr>
    </w:p>
    <w:p w14:paraId="504B6573" w14:textId="77777777" w:rsidR="00934730" w:rsidRPr="00B85990" w:rsidRDefault="00934730" w:rsidP="00934730">
      <w:pPr>
        <w:numPr>
          <w:ilvl w:val="0"/>
          <w:numId w:val="4"/>
        </w:numPr>
        <w:spacing w:after="0" w:line="219" w:lineRule="auto"/>
        <w:ind w:right="20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cs-CZ"/>
          <w14:ligatures w14:val="none"/>
        </w:rPr>
      </w:pPr>
      <w:r w:rsidRPr="00B85990">
        <w:rPr>
          <w:rFonts w:ascii="Times New Roman" w:eastAsia="Times New Roman" w:hAnsi="Times New Roman" w:cs="Times New Roman"/>
          <w:kern w:val="0"/>
          <w:sz w:val="22"/>
          <w:szCs w:val="22"/>
          <w:lang w:eastAsia="cs-CZ"/>
          <w14:ligatures w14:val="none"/>
        </w:rPr>
        <w:t xml:space="preserve">ak je k dispozícii iba režim snímania PET 2D, použije sa nasledujúci vzorec: podaná aktivita [MBq] = 25,9 x </w:t>
      </w:r>
      <w:proofErr w:type="spellStart"/>
      <w:r w:rsidRPr="00B85990">
        <w:rPr>
          <w:rFonts w:ascii="Times New Roman" w:eastAsia="Times New Roman" w:hAnsi="Times New Roman" w:cs="Times New Roman"/>
          <w:kern w:val="0"/>
          <w:sz w:val="22"/>
          <w:szCs w:val="22"/>
          <w:lang w:eastAsia="cs-CZ"/>
          <w14:ligatures w14:val="none"/>
        </w:rPr>
        <w:t>multiplikačný</w:t>
      </w:r>
      <w:proofErr w:type="spellEnd"/>
      <w:r w:rsidRPr="00B85990">
        <w:rPr>
          <w:rFonts w:ascii="Times New Roman" w:eastAsia="Times New Roman" w:hAnsi="Times New Roman" w:cs="Times New Roman"/>
          <w:kern w:val="0"/>
          <w:sz w:val="22"/>
          <w:szCs w:val="22"/>
          <w:lang w:eastAsia="cs-CZ"/>
          <w14:ligatures w14:val="none"/>
        </w:rPr>
        <w:t xml:space="preserve"> faktor (uvedený v tabuľke nižšie), minimálna aktivita = 26 MBq</w:t>
      </w:r>
    </w:p>
    <w:p w14:paraId="777FBC46" w14:textId="77777777" w:rsidR="00934730" w:rsidRPr="00B85990" w:rsidRDefault="00934730" w:rsidP="00934730">
      <w:pPr>
        <w:spacing w:after="0" w:line="236" w:lineRule="exact"/>
        <w:contextualSpacing/>
        <w:rPr>
          <w:rFonts w:ascii="Times New Roman" w:eastAsia="Times New Roman" w:hAnsi="Times New Roman" w:cs="Times New Roman"/>
          <w:kern w:val="0"/>
          <w:sz w:val="20"/>
          <w:szCs w:val="20"/>
          <w:lang w:eastAsia="cs-CZ"/>
          <w14:ligatures w14:val="none"/>
        </w:rPr>
      </w:pPr>
    </w:p>
    <w:tbl>
      <w:tblPr>
        <w:tblW w:w="0" w:type="auto"/>
        <w:tblInd w:w="3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1280"/>
        <w:gridCol w:w="1420"/>
        <w:gridCol w:w="1400"/>
        <w:gridCol w:w="1560"/>
        <w:gridCol w:w="1440"/>
      </w:tblGrid>
      <w:tr w:rsidR="00934730" w:rsidRPr="00B85990" w14:paraId="42E6BA38" w14:textId="77777777" w:rsidTr="00FC10BB">
        <w:trPr>
          <w:trHeight w:val="260"/>
        </w:trPr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A66BEEA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cs-CZ"/>
                <w14:ligatures w14:val="none"/>
              </w:rPr>
              <w:t>Telesná hmotnosť [kg]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2B71004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cs-CZ"/>
                <w14:ligatures w14:val="none"/>
              </w:rPr>
              <w:t>koeficient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3EE50C7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cs-CZ"/>
                <w14:ligatures w14:val="none"/>
              </w:rPr>
              <w:t>Telesná hmotnosť [kg]</w:t>
            </w:r>
          </w:p>
        </w:tc>
        <w:tc>
          <w:tcPr>
            <w:tcW w:w="1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89DCEA3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cs-CZ"/>
                <w14:ligatures w14:val="none"/>
              </w:rPr>
              <w:t>koeficient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90D3614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cs-CZ"/>
                <w14:ligatures w14:val="none"/>
              </w:rPr>
              <w:t>Telesná hmotnosť [kg]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AE088A3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cs-CZ"/>
                <w14:ligatures w14:val="none"/>
              </w:rPr>
              <w:t>koeficient</w:t>
            </w:r>
          </w:p>
        </w:tc>
      </w:tr>
      <w:tr w:rsidR="00934730" w:rsidRPr="00B85990" w14:paraId="7C018118" w14:textId="77777777" w:rsidTr="00FC10BB">
        <w:trPr>
          <w:trHeight w:val="245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882CA7D" w14:textId="77777777" w:rsidR="00934730" w:rsidRPr="00B85990" w:rsidRDefault="00934730" w:rsidP="00FC10BB">
            <w:pPr>
              <w:spacing w:after="0" w:line="243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3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9EF693" w14:textId="77777777" w:rsidR="00934730" w:rsidRPr="00B85990" w:rsidRDefault="00934730" w:rsidP="00FC10BB">
            <w:pPr>
              <w:spacing w:after="0" w:line="245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1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664516" w14:textId="77777777" w:rsidR="00934730" w:rsidRPr="00B85990" w:rsidRDefault="00934730" w:rsidP="00FC10BB">
            <w:pPr>
              <w:spacing w:after="0" w:line="243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22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75351C" w14:textId="6AE7D897" w:rsidR="00934730" w:rsidRPr="00B85990" w:rsidRDefault="00934730" w:rsidP="00FC10BB">
            <w:pPr>
              <w:spacing w:after="0" w:line="245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5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29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833E06" w14:textId="77777777" w:rsidR="00934730" w:rsidRPr="00B85990" w:rsidRDefault="00934730" w:rsidP="00FC10BB">
            <w:pPr>
              <w:spacing w:after="0" w:line="243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42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EF57A0" w14:textId="03AC2319" w:rsidR="00934730" w:rsidRPr="00B85990" w:rsidRDefault="00934730" w:rsidP="00FC10BB">
            <w:pPr>
              <w:spacing w:after="0" w:line="245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9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14</w:t>
            </w:r>
          </w:p>
        </w:tc>
      </w:tr>
      <w:tr w:rsidR="00934730" w:rsidRPr="00B85990" w14:paraId="769DF80E" w14:textId="77777777" w:rsidTr="00FC10BB">
        <w:trPr>
          <w:trHeight w:val="243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0C26C1B" w14:textId="77777777" w:rsidR="00934730" w:rsidRPr="00B85990" w:rsidRDefault="00934730" w:rsidP="00FC10BB">
            <w:pPr>
              <w:spacing w:after="0" w:line="239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BA215A" w14:textId="73AD5FA6" w:rsidR="00934730" w:rsidRPr="00B85990" w:rsidRDefault="00934730" w:rsidP="00FC10BB">
            <w:pPr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1</w:t>
            </w:r>
            <w:r w:rsidR="009150A0"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14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9E2F7F" w14:textId="77777777" w:rsidR="00934730" w:rsidRPr="00B85990" w:rsidRDefault="00934730" w:rsidP="00FC10BB">
            <w:pPr>
              <w:spacing w:after="0" w:line="239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24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90DEA6" w14:textId="472F28F6" w:rsidR="00934730" w:rsidRPr="00B85990" w:rsidRDefault="00934730" w:rsidP="00FC10BB">
            <w:pPr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5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71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BA5308" w14:textId="77777777" w:rsidR="00934730" w:rsidRPr="00B85990" w:rsidRDefault="00934730" w:rsidP="00FC10BB">
            <w:pPr>
              <w:spacing w:after="0" w:line="239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44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1033BF" w14:textId="693E8D09" w:rsidR="00934730" w:rsidRPr="00B85990" w:rsidRDefault="00934730" w:rsidP="00FC10BB">
            <w:pPr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9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57</w:t>
            </w:r>
          </w:p>
        </w:tc>
      </w:tr>
      <w:tr w:rsidR="00934730" w:rsidRPr="00B85990" w14:paraId="10B1BA74" w14:textId="77777777" w:rsidTr="00FC10BB">
        <w:trPr>
          <w:trHeight w:val="243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54230D7" w14:textId="77777777" w:rsidR="00934730" w:rsidRPr="00B85990" w:rsidRDefault="00934730" w:rsidP="00FC10BB">
            <w:pPr>
              <w:spacing w:after="0" w:line="241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6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587667" w14:textId="132B845B" w:rsidR="00934730" w:rsidRPr="00B85990" w:rsidRDefault="00934730" w:rsidP="00FC10BB">
            <w:pPr>
              <w:spacing w:after="0" w:line="243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1</w:t>
            </w:r>
            <w:r w:rsidR="009150A0"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71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7C34681" w14:textId="77777777" w:rsidR="00934730" w:rsidRPr="00B85990" w:rsidRDefault="00934730" w:rsidP="00FC10BB">
            <w:pPr>
              <w:spacing w:after="0" w:line="241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26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748AB8" w14:textId="0962556C" w:rsidR="00934730" w:rsidRPr="00B85990" w:rsidRDefault="00934730" w:rsidP="00FC10BB">
            <w:pPr>
              <w:spacing w:after="0" w:line="243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6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14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FA961A" w14:textId="77777777" w:rsidR="00934730" w:rsidRPr="00B85990" w:rsidRDefault="00934730" w:rsidP="00FC10BB">
            <w:pPr>
              <w:spacing w:after="0" w:line="241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46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5D3472" w14:textId="227DD3E4" w:rsidR="00934730" w:rsidRPr="00B85990" w:rsidRDefault="00934730" w:rsidP="00FC10BB">
            <w:pPr>
              <w:spacing w:after="0" w:line="243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10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00</w:t>
            </w:r>
          </w:p>
        </w:tc>
      </w:tr>
      <w:tr w:rsidR="00934730" w:rsidRPr="00B85990" w14:paraId="14F2FB32" w14:textId="77777777" w:rsidTr="00FC10BB">
        <w:trPr>
          <w:trHeight w:val="243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D4AC118" w14:textId="77777777" w:rsidR="00934730" w:rsidRPr="00B85990" w:rsidRDefault="00934730" w:rsidP="00FC10BB">
            <w:pPr>
              <w:spacing w:after="0" w:line="239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8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DE7E1A" w14:textId="5A596854" w:rsidR="00934730" w:rsidRPr="00B85990" w:rsidRDefault="00934730" w:rsidP="00FC10BB">
            <w:pPr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2</w:t>
            </w:r>
            <w:r w:rsidR="009150A0"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14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9870C0" w14:textId="77777777" w:rsidR="00934730" w:rsidRPr="00B85990" w:rsidRDefault="00934730" w:rsidP="00FC10BB">
            <w:pPr>
              <w:spacing w:after="0" w:line="239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28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2A76A0" w14:textId="470C2909" w:rsidR="00934730" w:rsidRPr="00B85990" w:rsidRDefault="00934730" w:rsidP="00FC10BB">
            <w:pPr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6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43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415C226" w14:textId="77777777" w:rsidR="00934730" w:rsidRPr="00B85990" w:rsidRDefault="00934730" w:rsidP="00FC10BB">
            <w:pPr>
              <w:spacing w:after="0" w:line="239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48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C60678" w14:textId="6690E557" w:rsidR="00934730" w:rsidRPr="00B85990" w:rsidRDefault="00934730" w:rsidP="00FC10BB">
            <w:pPr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10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29</w:t>
            </w:r>
          </w:p>
        </w:tc>
      </w:tr>
      <w:tr w:rsidR="00934730" w:rsidRPr="00B85990" w14:paraId="4DB268F8" w14:textId="77777777" w:rsidTr="00FC10BB">
        <w:trPr>
          <w:trHeight w:val="243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89B5939" w14:textId="77777777" w:rsidR="00934730" w:rsidRPr="00B85990" w:rsidRDefault="00934730" w:rsidP="00FC10BB">
            <w:pPr>
              <w:spacing w:after="0" w:line="241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10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ABAB20F" w14:textId="28C1176E" w:rsidR="00934730" w:rsidRPr="00B85990" w:rsidRDefault="00934730" w:rsidP="00FC10BB">
            <w:pPr>
              <w:spacing w:after="0" w:line="243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2</w:t>
            </w:r>
            <w:r w:rsidR="009150A0"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71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4D8E77" w14:textId="77777777" w:rsidR="00934730" w:rsidRPr="00B85990" w:rsidRDefault="00934730" w:rsidP="00FC10BB">
            <w:pPr>
              <w:spacing w:after="0" w:line="241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30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55F3ABB" w14:textId="041350A7" w:rsidR="00934730" w:rsidRPr="00B85990" w:rsidRDefault="00934730" w:rsidP="00FC10BB">
            <w:pPr>
              <w:spacing w:after="0" w:line="243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6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86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5CE70F" w14:textId="77777777" w:rsidR="00934730" w:rsidRPr="00B85990" w:rsidRDefault="00934730" w:rsidP="00FC10BB">
            <w:pPr>
              <w:spacing w:after="0" w:line="241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50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418FD19" w14:textId="34C55453" w:rsidR="00934730" w:rsidRPr="00B85990" w:rsidRDefault="00934730" w:rsidP="00FC10BB">
            <w:pPr>
              <w:spacing w:after="0" w:line="243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10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71</w:t>
            </w:r>
          </w:p>
        </w:tc>
      </w:tr>
      <w:tr w:rsidR="00934730" w:rsidRPr="00B85990" w14:paraId="6E48BA5F" w14:textId="77777777" w:rsidTr="00FC10BB">
        <w:trPr>
          <w:trHeight w:val="243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071D779" w14:textId="77777777" w:rsidR="00934730" w:rsidRPr="00B85990" w:rsidRDefault="00934730" w:rsidP="00FC10BB">
            <w:pPr>
              <w:spacing w:after="0" w:line="239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12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640D95" w14:textId="7BEC74CF" w:rsidR="00934730" w:rsidRPr="00B85990" w:rsidRDefault="00934730" w:rsidP="00FC10BB">
            <w:pPr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3</w:t>
            </w:r>
            <w:r w:rsidR="009150A0"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14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B69D1B1" w14:textId="77777777" w:rsidR="00934730" w:rsidRPr="00B85990" w:rsidRDefault="00934730" w:rsidP="00FC10BB">
            <w:pPr>
              <w:spacing w:after="0" w:line="239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32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9E2E7F" w14:textId="6A1B0915" w:rsidR="00934730" w:rsidRPr="00B85990" w:rsidRDefault="00934730" w:rsidP="00FC10BB">
            <w:pPr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7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29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06A84A4" w14:textId="77777777" w:rsidR="00934730" w:rsidRPr="00B85990" w:rsidRDefault="00934730" w:rsidP="00FC10BB">
            <w:pPr>
              <w:spacing w:after="0" w:line="239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9"/>
                <w:kern w:val="0"/>
                <w:sz w:val="22"/>
                <w:szCs w:val="22"/>
                <w:lang w:eastAsia="cs-CZ"/>
                <w14:ligatures w14:val="none"/>
              </w:rPr>
              <w:t>52-54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6F84DC" w14:textId="4CA755C1" w:rsidR="00934730" w:rsidRPr="00B85990" w:rsidRDefault="00934730" w:rsidP="00FC10BB">
            <w:pPr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11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29</w:t>
            </w:r>
          </w:p>
        </w:tc>
      </w:tr>
      <w:tr w:rsidR="00934730" w:rsidRPr="00B85990" w14:paraId="7D8E4445" w14:textId="77777777" w:rsidTr="00FC10BB">
        <w:trPr>
          <w:trHeight w:val="243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722AF2B" w14:textId="77777777" w:rsidR="00934730" w:rsidRPr="00B85990" w:rsidRDefault="00934730" w:rsidP="00FC10BB">
            <w:pPr>
              <w:spacing w:after="0" w:line="241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14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A6EAC1" w14:textId="533433FD" w:rsidR="00934730" w:rsidRPr="00B85990" w:rsidRDefault="00934730" w:rsidP="00FC10BB">
            <w:pPr>
              <w:spacing w:after="0" w:line="243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3</w:t>
            </w:r>
            <w:r w:rsidR="009150A0"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57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889169" w14:textId="77777777" w:rsidR="00934730" w:rsidRPr="00B85990" w:rsidRDefault="00934730" w:rsidP="00FC10BB">
            <w:pPr>
              <w:spacing w:after="0" w:line="241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34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3F0B76" w14:textId="72D8BAC5" w:rsidR="00934730" w:rsidRPr="00B85990" w:rsidRDefault="00934730" w:rsidP="00FC10BB">
            <w:pPr>
              <w:spacing w:after="0" w:line="243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7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72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DA78F0C" w14:textId="77777777" w:rsidR="00934730" w:rsidRPr="00B85990" w:rsidRDefault="00934730" w:rsidP="00FC10BB">
            <w:pPr>
              <w:spacing w:after="0" w:line="241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9"/>
                <w:kern w:val="0"/>
                <w:sz w:val="22"/>
                <w:szCs w:val="22"/>
                <w:lang w:eastAsia="cs-CZ"/>
                <w14:ligatures w14:val="none"/>
              </w:rPr>
              <w:t>56-58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27AFC1" w14:textId="3A21F18E" w:rsidR="00934730" w:rsidRPr="00B85990" w:rsidRDefault="00934730" w:rsidP="00FC10BB">
            <w:pPr>
              <w:spacing w:after="0" w:line="243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12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00</w:t>
            </w:r>
          </w:p>
        </w:tc>
      </w:tr>
      <w:tr w:rsidR="00934730" w:rsidRPr="00B85990" w14:paraId="45F6DC75" w14:textId="77777777" w:rsidTr="00FC10BB">
        <w:trPr>
          <w:trHeight w:val="244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5DDFE01" w14:textId="77777777" w:rsidR="00934730" w:rsidRPr="00B85990" w:rsidRDefault="00934730" w:rsidP="00FC10BB">
            <w:pPr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16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665EC7" w14:textId="0B60CD3D" w:rsidR="00934730" w:rsidRPr="00B85990" w:rsidRDefault="00934730" w:rsidP="00FC10BB">
            <w:pPr>
              <w:spacing w:after="0" w:line="244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4</w:t>
            </w:r>
            <w:r w:rsidR="009150A0"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4EE025" w14:textId="77777777" w:rsidR="00934730" w:rsidRPr="00B85990" w:rsidRDefault="00934730" w:rsidP="00FC10BB">
            <w:pPr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36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F9BBD8" w14:textId="076FA4E0" w:rsidR="00934730" w:rsidRPr="00B85990" w:rsidRDefault="00934730" w:rsidP="00FC10BB">
            <w:pPr>
              <w:spacing w:after="0" w:line="244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8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00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5A7FD21" w14:textId="77777777" w:rsidR="00934730" w:rsidRPr="00B85990" w:rsidRDefault="00934730" w:rsidP="00FC10BB">
            <w:pPr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9"/>
                <w:kern w:val="0"/>
                <w:sz w:val="22"/>
                <w:szCs w:val="22"/>
                <w:lang w:eastAsia="cs-CZ"/>
                <w14:ligatures w14:val="none"/>
              </w:rPr>
              <w:t>60-62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8A67C2F" w14:textId="793FE44F" w:rsidR="00934730" w:rsidRPr="00B85990" w:rsidRDefault="00934730" w:rsidP="00FC10BB">
            <w:pPr>
              <w:spacing w:after="0" w:line="244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12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71</w:t>
            </w:r>
          </w:p>
        </w:tc>
      </w:tr>
      <w:tr w:rsidR="00934730" w:rsidRPr="00B85990" w14:paraId="2ED2BE98" w14:textId="77777777" w:rsidTr="00FC10BB">
        <w:trPr>
          <w:trHeight w:val="243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A7455FD" w14:textId="77777777" w:rsidR="00934730" w:rsidRPr="00B85990" w:rsidRDefault="00934730" w:rsidP="00FC10BB">
            <w:pPr>
              <w:spacing w:after="0" w:line="239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18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C138A73" w14:textId="1ED5E1E4" w:rsidR="00934730" w:rsidRPr="00B85990" w:rsidRDefault="00934730" w:rsidP="00FC10BB">
            <w:pPr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4</w:t>
            </w:r>
            <w:r w:rsidR="009150A0"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43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4B338D1" w14:textId="77777777" w:rsidR="00934730" w:rsidRPr="00B85990" w:rsidRDefault="00934730" w:rsidP="00FC10BB">
            <w:pPr>
              <w:spacing w:after="0" w:line="239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38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A977801" w14:textId="6C7CACBD" w:rsidR="00934730" w:rsidRPr="00B85990" w:rsidRDefault="00934730" w:rsidP="00FC10BB">
            <w:pPr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8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43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E37C2D" w14:textId="77777777" w:rsidR="00934730" w:rsidRPr="00B85990" w:rsidRDefault="00934730" w:rsidP="00FC10BB">
            <w:pPr>
              <w:spacing w:after="0" w:line="239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9"/>
                <w:kern w:val="0"/>
                <w:sz w:val="22"/>
                <w:szCs w:val="22"/>
                <w:lang w:eastAsia="cs-CZ"/>
                <w14:ligatures w14:val="none"/>
              </w:rPr>
              <w:t>64-66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51FC4EF" w14:textId="25088AF7" w:rsidR="00934730" w:rsidRPr="00B85990" w:rsidRDefault="00934730" w:rsidP="00FC10BB">
            <w:pPr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13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43</w:t>
            </w:r>
          </w:p>
        </w:tc>
      </w:tr>
      <w:tr w:rsidR="00934730" w:rsidRPr="00B85990" w14:paraId="43043627" w14:textId="77777777" w:rsidTr="00FC10BB">
        <w:trPr>
          <w:trHeight w:val="243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5E6A8C7" w14:textId="77777777" w:rsidR="00934730" w:rsidRPr="00B85990" w:rsidRDefault="00934730" w:rsidP="00FC10BB">
            <w:pPr>
              <w:spacing w:after="0" w:line="241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20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E5D925" w14:textId="3A7377E9" w:rsidR="00934730" w:rsidRPr="00B85990" w:rsidRDefault="00934730" w:rsidP="00FC10BB">
            <w:pPr>
              <w:spacing w:after="0" w:line="243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4</w:t>
            </w:r>
            <w:r w:rsidR="009150A0"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86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C84E22" w14:textId="77777777" w:rsidR="00934730" w:rsidRPr="00B85990" w:rsidRDefault="00934730" w:rsidP="00FC10BB">
            <w:pPr>
              <w:spacing w:after="0" w:line="241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40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6A6B8F" w14:textId="7E03F600" w:rsidR="00934730" w:rsidRPr="00B85990" w:rsidRDefault="00934730" w:rsidP="00FC10BB">
            <w:pPr>
              <w:spacing w:after="0" w:line="243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8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86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AD1482" w14:textId="77777777" w:rsidR="00934730" w:rsidRPr="00B85990" w:rsidRDefault="00934730" w:rsidP="00FC10BB">
            <w:pPr>
              <w:spacing w:after="0" w:line="241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w w:val="97"/>
                <w:kern w:val="0"/>
                <w:sz w:val="22"/>
                <w:szCs w:val="22"/>
                <w:lang w:eastAsia="cs-CZ"/>
                <w14:ligatures w14:val="none"/>
              </w:rPr>
              <w:t>68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F8849B" w14:textId="45A735B4" w:rsidR="00934730" w:rsidRPr="00B85990" w:rsidRDefault="00934730" w:rsidP="00FC10BB">
            <w:pPr>
              <w:spacing w:after="0" w:line="243" w:lineRule="exac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14</w:t>
            </w:r>
            <w:r w:rsidR="009150A0"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cs-CZ"/>
                <w14:ligatures w14:val="none"/>
              </w:rPr>
              <w:t>00</w:t>
            </w:r>
          </w:p>
        </w:tc>
      </w:tr>
    </w:tbl>
    <w:p w14:paraId="3D41D973" w14:textId="77777777" w:rsidR="00934730" w:rsidRPr="00B85990" w:rsidRDefault="00934730" w:rsidP="00934730">
      <w:pPr>
        <w:keepNext/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223FDABC" w14:textId="77777777" w:rsidR="00934730" w:rsidRPr="00B85990" w:rsidRDefault="00934730" w:rsidP="00934730">
      <w:pPr>
        <w:keepNext/>
        <w:spacing w:after="0" w:line="240" w:lineRule="auto"/>
        <w:ind w:right="3047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i/>
          <w:color w:val="000000"/>
          <w:kern w:val="0"/>
          <w:sz w:val="22"/>
          <w:szCs w:val="22"/>
          <w:lang w:eastAsia="sk-SK"/>
          <w14:ligatures w14:val="none"/>
        </w:rPr>
        <w:t xml:space="preserve">Dospelí a starší pacienti </w:t>
      </w:r>
    </w:p>
    <w:p w14:paraId="06B71C7E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V onkológii je odporúčaná aktivita pre dospelého s hmotnosťou 70 kg 2 až 4 MBq/kg (táto aktivita musí byť prispôsobená telesnej hmotnosti pacienta, typu použitej kamery PET(/CT) a režimu snímania), podávaná priamou pomalou intravenóznou injekciou počas približne jednej minúty.</w:t>
      </w:r>
    </w:p>
    <w:p w14:paraId="7DBFD5B2" w14:textId="15349FAF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Polovica tejto aktivity môže byť podávaná pri neurologických indikáciách, ktoré nevyžadujú zobrazenie celého tela.</w:t>
      </w:r>
    </w:p>
    <w:p w14:paraId="43761177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lastRenderedPageBreak/>
        <w:t>V neurológii je odporúčaná aktivita pre dospelého s hmotnosťou 70 kg 1 až 2 MBq/kg (táto aktivita musí byť prispôsobená telesnej hmotnosti pacienta a režimu snímania), podávaná priamou pomalou intravenóznou injekciou počas približne jednej minúty.</w:t>
      </w:r>
    </w:p>
    <w:p w14:paraId="2388C931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Polovica tejto aktivity môže byť podávaná pri neurologických indikáciách, ktoré nevyžadujú zobrazenie celého tela.</w:t>
      </w:r>
    </w:p>
    <w:p w14:paraId="519B10CD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44E0648F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i/>
          <w:color w:val="000000"/>
          <w:kern w:val="0"/>
          <w:sz w:val="22"/>
          <w:szCs w:val="22"/>
          <w:lang w:eastAsia="sk-SK"/>
          <w14:ligatures w14:val="none"/>
        </w:rPr>
        <w:t>Porucha funkcie obličiek/pečene</w:t>
      </w:r>
    </w:p>
    <w:p w14:paraId="6F7EA4DA" w14:textId="77777777" w:rsidR="00934730" w:rsidRPr="00B85990" w:rsidRDefault="00934730" w:rsidP="00934730">
      <w:pPr>
        <w:spacing w:after="0" w:line="240" w:lineRule="auto"/>
        <w:rPr>
          <w:rFonts w:ascii="Times New Roman" w:eastAsia="MS Mincho" w:hAnsi="Times New Roman" w:cs="Times New Roman"/>
          <w:bCs/>
          <w:kern w:val="0"/>
          <w:sz w:val="22"/>
          <w:szCs w:val="22"/>
          <w:lang w:eastAsia="ja-JP"/>
          <w14:ligatures w14:val="none"/>
        </w:rPr>
      </w:pPr>
      <w:r w:rsidRPr="00B85990">
        <w:rPr>
          <w:rFonts w:ascii="Times New Roman" w:eastAsia="MS Mincho" w:hAnsi="Times New Roman" w:cs="Times New Roman"/>
          <w:bCs/>
          <w:kern w:val="0"/>
          <w:sz w:val="22"/>
          <w:szCs w:val="22"/>
          <w:lang w:eastAsia="ja-JP"/>
          <w14:ligatures w14:val="none"/>
        </w:rPr>
        <w:t>Je potrebné starostlivo zvážiť aktivitu, ktorá sa má podať, pretože u týchto pacientov je možná zvýšená radiačná expozícia.</w:t>
      </w:r>
    </w:p>
    <w:p w14:paraId="68873667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263F0D53" w14:textId="77777777" w:rsidR="00934730" w:rsidRPr="00B85990" w:rsidRDefault="00934730" w:rsidP="00934730">
      <w:pPr>
        <w:keepNext/>
        <w:keepLines/>
        <w:spacing w:after="0" w:line="240" w:lineRule="auto"/>
        <w:outlineLvl w:val="1"/>
        <w:rPr>
          <w:rFonts w:ascii="Times New Roman" w:eastAsia="Times New Roman" w:hAnsi="Times New Roman" w:cs="Times New Roman"/>
          <w:iCs/>
          <w:color w:val="000000"/>
          <w:kern w:val="0"/>
          <w:sz w:val="22"/>
          <w:szCs w:val="22"/>
          <w:u w:val="single" w:color="000000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iCs/>
          <w:color w:val="000000"/>
          <w:kern w:val="0"/>
          <w:sz w:val="22"/>
          <w:szCs w:val="22"/>
          <w:u w:val="single" w:color="000000"/>
          <w:lang w:eastAsia="sk-SK"/>
          <w14:ligatures w14:val="none"/>
        </w:rPr>
        <w:t xml:space="preserve">Spôsob podávania </w:t>
      </w:r>
    </w:p>
    <w:p w14:paraId="5BEEDEF3" w14:textId="77777777" w:rsidR="00934730" w:rsidRPr="00B85990" w:rsidRDefault="00934730" w:rsidP="00934730">
      <w:pPr>
        <w:spacing w:after="0" w:line="240" w:lineRule="auto"/>
        <w:ind w:right="-14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Na intravenózne podanie: f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luórdopa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F) 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musí byť podávaná pomalou intravenóznou injekciou počas približne jednej minúty.</w:t>
      </w:r>
    </w:p>
    <w:p w14:paraId="75EBFA26" w14:textId="77777777" w:rsidR="00934730" w:rsidRPr="00B85990" w:rsidRDefault="00934730" w:rsidP="00934730">
      <w:pPr>
        <w:spacing w:after="0" w:line="240" w:lineRule="auto"/>
        <w:ind w:right="-14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Na viacdávkové použitie.</w:t>
      </w:r>
    </w:p>
    <w:p w14:paraId="78E876E4" w14:textId="77777777" w:rsidR="00934730" w:rsidRPr="00B85990" w:rsidRDefault="00934730" w:rsidP="00934730">
      <w:pPr>
        <w:spacing w:after="0" w:line="240" w:lineRule="auto"/>
        <w:ind w:right="-14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Aktivita f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luórdopy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F) 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musí byť zmeraná </w:t>
      </w: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aktivimetrom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bezprostredne pred podaním injekcie.</w:t>
      </w:r>
    </w:p>
    <w:p w14:paraId="09260909" w14:textId="77777777" w:rsidR="00934730" w:rsidRPr="00B85990" w:rsidRDefault="00934730" w:rsidP="00934730">
      <w:pPr>
        <w:spacing w:after="0" w:line="240" w:lineRule="auto"/>
        <w:ind w:right="-14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Podanie injekcie s f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luórdopou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F) 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musí byť intravenózne, aby sa zabránilo ožiareniu v dôsledku lokálnej </w:t>
      </w: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extravazácie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, rovnako ako artefaktom pri zobrazovaní. </w:t>
      </w:r>
    </w:p>
    <w:p w14:paraId="133549A8" w14:textId="77777777" w:rsidR="00934730" w:rsidRPr="00B85990" w:rsidRDefault="00934730" w:rsidP="00934730">
      <w:pPr>
        <w:spacing w:after="0" w:line="240" w:lineRule="auto"/>
        <w:ind w:right="3047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Pokyny na prípravu lieku pred podaním, pozri časti 6.6 a 12. </w:t>
      </w:r>
    </w:p>
    <w:p w14:paraId="7E576C06" w14:textId="77777777" w:rsidR="00934730" w:rsidRPr="00B85990" w:rsidRDefault="00934730" w:rsidP="00934730">
      <w:pPr>
        <w:spacing w:after="0" w:line="240" w:lineRule="auto"/>
        <w:ind w:right="-14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Na prípravu pacienta pozri časť 4.4. </w:t>
      </w:r>
    </w:p>
    <w:p w14:paraId="7AD812A5" w14:textId="77777777" w:rsidR="00934730" w:rsidRPr="00B85990" w:rsidRDefault="00934730" w:rsidP="00934730">
      <w:pPr>
        <w:spacing w:after="0" w:line="240" w:lineRule="auto"/>
        <w:ind w:right="-14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4E503682" w14:textId="77777777" w:rsidR="00934730" w:rsidRPr="00B85990" w:rsidRDefault="00934730" w:rsidP="00934730">
      <w:pPr>
        <w:keepNext/>
        <w:keepLines/>
        <w:spacing w:after="0" w:line="240" w:lineRule="auto"/>
        <w:outlineLvl w:val="1"/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:u w:color="000000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:u w:color="000000"/>
          <w:lang w:eastAsia="sk-SK"/>
          <w14:ligatures w14:val="none"/>
        </w:rPr>
        <w:t>Zobrazovanie</w:t>
      </w:r>
    </w:p>
    <w:p w14:paraId="7647E8B9" w14:textId="77777777" w:rsidR="00934730" w:rsidRPr="00B85990" w:rsidRDefault="00934730" w:rsidP="00934730">
      <w:pPr>
        <w:keepNext/>
        <w:keepLines/>
        <w:spacing w:after="0" w:line="240" w:lineRule="auto"/>
        <w:outlineLvl w:val="1"/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:u w:color="000000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:u w:color="000000"/>
          <w:lang w:eastAsia="sk-SK"/>
          <w14:ligatures w14:val="none"/>
        </w:rPr>
        <w:t xml:space="preserve"> </w:t>
      </w:r>
    </w:p>
    <w:p w14:paraId="3FB7F6B2" w14:textId="77777777" w:rsidR="00934730" w:rsidRPr="00B85990" w:rsidRDefault="00934730" w:rsidP="00934730">
      <w:pPr>
        <w:keepNext/>
        <w:keepLines/>
        <w:tabs>
          <w:tab w:val="center" w:pos="1623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sk-SK"/>
          <w14:ligatures w14:val="none"/>
        </w:rPr>
        <w:t>Neurológia</w:t>
      </w:r>
    </w:p>
    <w:p w14:paraId="0F7FDD50" w14:textId="77777777" w:rsidR="00934730" w:rsidRPr="00B85990" w:rsidRDefault="00934730" w:rsidP="00934730">
      <w:pPr>
        <w:keepNext/>
        <w:keepLines/>
        <w:numPr>
          <w:ilvl w:val="0"/>
          <w:numId w:val="3"/>
        </w:numPr>
        <w:tabs>
          <w:tab w:val="center" w:pos="1623"/>
        </w:tabs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"dynamické" získavanie PET snímok mozgu počas 90 až 120 minút po podaní injekcie.</w:t>
      </w:r>
    </w:p>
    <w:p w14:paraId="375A06F4" w14:textId="77777777" w:rsidR="00934730" w:rsidRPr="00B85990" w:rsidRDefault="00934730" w:rsidP="00934730">
      <w:pPr>
        <w:keepNext/>
        <w:keepLines/>
        <w:numPr>
          <w:ilvl w:val="0"/>
          <w:numId w:val="3"/>
        </w:numPr>
        <w:tabs>
          <w:tab w:val="center" w:pos="1623"/>
        </w:tabs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alebo jedno "statické" získanie PET začínajúce 90 minút po podaní injekcie.</w:t>
      </w:r>
    </w:p>
    <w:p w14:paraId="13C97DA9" w14:textId="77777777" w:rsidR="00934730" w:rsidRPr="00B85990" w:rsidRDefault="00934730" w:rsidP="00934730">
      <w:pPr>
        <w:keepNext/>
        <w:keepLines/>
        <w:tabs>
          <w:tab w:val="center" w:pos="1623"/>
        </w:tabs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33E666A8" w14:textId="77777777" w:rsidR="00934730" w:rsidRPr="00B85990" w:rsidRDefault="00934730" w:rsidP="00934730">
      <w:pPr>
        <w:keepNext/>
        <w:keepLines/>
        <w:tabs>
          <w:tab w:val="center" w:pos="1623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sk-SK"/>
          <w14:ligatures w14:val="none"/>
        </w:rPr>
        <w:t>Onkológia</w:t>
      </w:r>
    </w:p>
    <w:p w14:paraId="28FCFF98" w14:textId="77777777" w:rsidR="00934730" w:rsidRPr="00B85990" w:rsidRDefault="00934730" w:rsidP="00934730">
      <w:pPr>
        <w:keepNext/>
        <w:keepLines/>
        <w:numPr>
          <w:ilvl w:val="0"/>
          <w:numId w:val="11"/>
        </w:numPr>
        <w:tabs>
          <w:tab w:val="center" w:pos="1623"/>
        </w:tabs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Gliómy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: "statické" snímanie mozgu medzi 10 až 30 minútami po podaní injekcie.</w:t>
      </w:r>
    </w:p>
    <w:p w14:paraId="0CE6256A" w14:textId="77777777" w:rsidR="00934730" w:rsidRPr="00B85990" w:rsidRDefault="00934730" w:rsidP="00934730">
      <w:pPr>
        <w:keepNext/>
        <w:keepLines/>
        <w:numPr>
          <w:ilvl w:val="0"/>
          <w:numId w:val="11"/>
        </w:numPr>
        <w:tabs>
          <w:tab w:val="center" w:pos="1623"/>
        </w:tabs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Medulárny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karcinóm štítnej žľazy: statická celotelová akvizícia začínajúca medzi prvými 15 minútami po podaní injekcie, voliteľne s neskoršou akvizíciou zameranou na možné ložiská nájdené skôr.</w:t>
      </w:r>
    </w:p>
    <w:p w14:paraId="74361A03" w14:textId="77777777" w:rsidR="00934730" w:rsidRPr="00B85990" w:rsidRDefault="00934730" w:rsidP="00934730">
      <w:pPr>
        <w:keepNext/>
        <w:keepLines/>
        <w:numPr>
          <w:ilvl w:val="0"/>
          <w:numId w:val="11"/>
        </w:numPr>
        <w:tabs>
          <w:tab w:val="center" w:pos="1623"/>
        </w:tabs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Neuroendokrinné nádory stredného čreva: Celotelová akvizícia 1 hodinu po podaní injekcie s možnou skoršou akvizíciou (pred prípadnou fyziologickou aktivitou v žlči) zameranou na brucho.</w:t>
      </w:r>
    </w:p>
    <w:p w14:paraId="5A90E25E" w14:textId="77777777" w:rsidR="00934730" w:rsidRPr="00B85990" w:rsidRDefault="00934730" w:rsidP="00934730">
      <w:pPr>
        <w:numPr>
          <w:ilvl w:val="0"/>
          <w:numId w:val="11"/>
        </w:numPr>
        <w:spacing w:line="259" w:lineRule="auto"/>
        <w:contextualSpacing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Paragangliómy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: Celotelová akvizícia 30 minút až 1 hodinu po podaní injekcie.</w:t>
      </w:r>
    </w:p>
    <w:p w14:paraId="034924F7" w14:textId="77777777" w:rsidR="00934730" w:rsidRPr="00B85990" w:rsidRDefault="00934730" w:rsidP="009A0164">
      <w:pPr>
        <w:keepNext/>
        <w:keepLines/>
        <w:tabs>
          <w:tab w:val="center" w:pos="1623"/>
        </w:tabs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281BD207" w14:textId="5C56C749" w:rsidR="00934730" w:rsidRDefault="00934730" w:rsidP="009A0164">
      <w:pPr>
        <w:pStyle w:val="Nadpis2"/>
        <w:spacing w:before="0" w:after="0"/>
        <w:rPr>
          <w:rFonts w:eastAsia="Times New Roman"/>
          <w:lang w:eastAsia="sk-SK"/>
        </w:rPr>
      </w:pPr>
      <w:r w:rsidRPr="00B85990">
        <w:rPr>
          <w:rFonts w:eastAsia="Times New Roman"/>
          <w:lang w:eastAsia="sk-SK"/>
        </w:rPr>
        <w:t>4.3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Kontraindikácie</w:t>
      </w:r>
    </w:p>
    <w:p w14:paraId="45489E71" w14:textId="77777777" w:rsidR="009A0164" w:rsidRPr="00EC2A0B" w:rsidRDefault="009A0164" w:rsidP="00EC2A0B">
      <w:pPr>
        <w:spacing w:after="0" w:line="240" w:lineRule="auto"/>
        <w:rPr>
          <w:rFonts w:ascii="Times New Roman" w:hAnsi="Times New Roman" w:cs="Times New Roman"/>
          <w:sz w:val="22"/>
          <w:szCs w:val="22"/>
          <w:lang w:eastAsia="sk-SK"/>
        </w:rPr>
      </w:pPr>
    </w:p>
    <w:p w14:paraId="4E551629" w14:textId="77777777" w:rsidR="00934730" w:rsidRPr="00B85990" w:rsidRDefault="00934730" w:rsidP="00EC2A0B">
      <w:pPr>
        <w:numPr>
          <w:ilvl w:val="0"/>
          <w:numId w:val="1"/>
        </w:numPr>
        <w:spacing w:after="0" w:line="240" w:lineRule="auto"/>
        <w:ind w:hanging="720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precitlivenosť na liečivo alebo na ktorúkoľvek z pomocných látok uvedených v časti 6.1.</w:t>
      </w:r>
    </w:p>
    <w:p w14:paraId="313FF58B" w14:textId="77777777" w:rsidR="00934730" w:rsidRPr="00B85990" w:rsidRDefault="00934730" w:rsidP="00934730">
      <w:pPr>
        <w:numPr>
          <w:ilvl w:val="0"/>
          <w:numId w:val="1"/>
        </w:numPr>
        <w:spacing w:after="0" w:line="240" w:lineRule="auto"/>
        <w:ind w:hanging="720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gravidita (pozri časť 4.6).</w:t>
      </w:r>
    </w:p>
    <w:p w14:paraId="7DBB9661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208512FB" w14:textId="08281F07" w:rsidR="00934730" w:rsidRPr="00B85990" w:rsidRDefault="00934730" w:rsidP="009A0164">
      <w:pPr>
        <w:pStyle w:val="Nadpis2"/>
        <w:spacing w:before="0" w:after="0"/>
        <w:rPr>
          <w:rFonts w:eastAsia="Calibri"/>
          <w:lang w:eastAsia="sk-SK"/>
        </w:rPr>
      </w:pPr>
      <w:r w:rsidRPr="00B85990">
        <w:rPr>
          <w:rFonts w:eastAsia="Times New Roman"/>
          <w:lang w:eastAsia="sk-SK"/>
        </w:rPr>
        <w:t>4.4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Osobitné upozornenia a opatrenia pri používaní</w:t>
      </w:r>
    </w:p>
    <w:p w14:paraId="22319A02" w14:textId="77777777" w:rsidR="009A0164" w:rsidRDefault="009A0164" w:rsidP="009A016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</w:p>
    <w:p w14:paraId="2C35F7E2" w14:textId="063B0B6A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Potenciál pre </w:t>
      </w:r>
      <w:proofErr w:type="spellStart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hypersenzitivitu</w:t>
      </w:r>
      <w:proofErr w:type="spellEnd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alebo </w:t>
      </w:r>
      <w:proofErr w:type="spellStart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anafylaktické</w:t>
      </w:r>
      <w:proofErr w:type="spellEnd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reakcie.</w:t>
      </w:r>
    </w:p>
    <w:p w14:paraId="2D7364A1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Ak sa objaví </w:t>
      </w:r>
      <w:proofErr w:type="spellStart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hypersenzitivita</w:t>
      </w:r>
      <w:proofErr w:type="spellEnd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alebo </w:t>
      </w:r>
      <w:proofErr w:type="spellStart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anafylaktické</w:t>
      </w:r>
      <w:proofErr w:type="spellEnd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reakcie, musí byť podávanie lieku okamžite prerušené a musí sa začať intravenózna liečba, ak je to nutné. Aby bolo možné v naliehavých prípadoch okamžite zasiahnuť, musia byť okamžite k dispozícii nevyhnutné lieky a vybavenie, ako je </w:t>
      </w:r>
      <w:proofErr w:type="spellStart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endotracheálna</w:t>
      </w:r>
      <w:proofErr w:type="spellEnd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trubica a ventilátor.</w:t>
      </w:r>
    </w:p>
    <w:p w14:paraId="3EE851ED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</w:p>
    <w:p w14:paraId="719BB7FA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  <w:t>Individuálne zdôvodnenie pomeru prínosov a rizík</w:t>
      </w:r>
    </w:p>
    <w:p w14:paraId="7DEDEB93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U každého pacienta musí byť ožiarenie odôvodniteľné pravdepodobným prínosom. Podávaná aktivita má byť v každom prípade taká nízka, ako je rozumne dosiahnuteľná na získanie požadovaných diagnostických informácií.</w:t>
      </w:r>
    </w:p>
    <w:p w14:paraId="2B736D0D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</w:p>
    <w:p w14:paraId="062B4EF0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  <w:t>Porucha funkcie obličiek/pečene</w:t>
      </w:r>
    </w:p>
    <w:p w14:paraId="3741AFF5" w14:textId="1EDEB9B8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U týchto pacientov je potrebné starostlivo zvážiť pomer prínosov a rizík, pretože je možná zvýšená expozícia žiareniu.</w:t>
      </w:r>
    </w:p>
    <w:p w14:paraId="6E081A2D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  <w:lastRenderedPageBreak/>
        <w:t>Pediatrická populácia</w:t>
      </w:r>
    </w:p>
    <w:p w14:paraId="47E117D3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Informácie o použití v pediatrickej populácii pozri časť 4.2.</w:t>
      </w:r>
    </w:p>
    <w:p w14:paraId="215BCDA6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Je potrebné starostlivo zvážiť indikáciu, pretože účinná dávka na MBq je vyššia ako u dospelých (pozri časť 11).</w:t>
      </w:r>
    </w:p>
    <w:p w14:paraId="59ED2488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</w:p>
    <w:p w14:paraId="799F5D54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  <w:t>Príprava pacienta</w:t>
      </w:r>
    </w:p>
    <w:p w14:paraId="71CC5D3E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Fluorodopa (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F) Biont má byť podávaná pacientom nalačno počas minimálne 4 hodín bez obmedzenia príjmu vody (a s glukózou, ak je to potrebné).</w:t>
      </w:r>
    </w:p>
    <w:p w14:paraId="48220BEF" w14:textId="618783B6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Za účelom získania snímok najvyššej kvality a zníženia radiačnej expozície močového mechúra je potrebné usmerniť pacientov, aby dostatočne pili a vyprázdnili močový mechúr pred a po vyšetrení PET.</w:t>
      </w:r>
    </w:p>
    <w:p w14:paraId="5D30A5C4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Pri neurologických indikáciách sa odporúča prerušiť akúkoľvek </w:t>
      </w:r>
      <w:proofErr w:type="spellStart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antiparkinsonickú</w:t>
      </w:r>
      <w:proofErr w:type="spellEnd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liečbu najmenej 12 hodín pred vyšetrením PET.</w:t>
      </w:r>
    </w:p>
    <w:p w14:paraId="2E543728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</w:p>
    <w:p w14:paraId="6FD4C309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  <w:t>Interpretácia PET snímok s fluórdopou (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  <w:t>F)</w:t>
      </w:r>
    </w:p>
    <w:p w14:paraId="504B1160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  <w:t>Neurológia</w:t>
      </w:r>
    </w:p>
    <w:p w14:paraId="6AE6794C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Interpretácia hodnôt príjmu 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fluórdopy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F) 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v rôznych častiach mozgu vyžaduje porovnanie s kontrolami zodpovedajúcimi veku a pohlaviu. Nedávne publikácie odkazujú na databázu normálnych prípadov a štatistickú parametrickú analýzu (SPM) založenú na </w:t>
      </w:r>
      <w:proofErr w:type="spellStart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voxeli</w:t>
      </w:r>
      <w:proofErr w:type="spellEnd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a automatizovanú analýzu oblastí záujmu (ROI).</w:t>
      </w:r>
    </w:p>
    <w:p w14:paraId="26C84841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</w:p>
    <w:p w14:paraId="6C88B1F6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  <w:t>Onkológia</w:t>
      </w:r>
    </w:p>
    <w:p w14:paraId="53202E17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Falošne pozitívne výsledky zápalových lézií sa zdajú byť pri PET s 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fluórdopou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F)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veľmi zriedkavé. Je však potrebné mať na pamäti možnosť zápalovej lézie, ak je 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fluórdopou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F)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detegované neočakávané ložisko. Pri interpretácii musí byť zohľadnená fyziologická biologická distribúcia; najmä vychytávanie v bazálnych gangliách, difúzne vychytávanie v pankrease, vychytávanie v žlčníku vedúce k následnej aktivite v čreve a vychytávanie obličiek vedúce k aspektu "</w:t>
      </w:r>
      <w:proofErr w:type="spellStart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hotspotov</w:t>
      </w:r>
      <w:proofErr w:type="spellEnd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" v močovodoch a vysokej aktivite v močovom mechúre.</w:t>
      </w:r>
    </w:p>
    <w:p w14:paraId="14950EC9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</w:p>
    <w:p w14:paraId="3564F41C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  <w:t>Po vyšetrení</w:t>
      </w:r>
    </w:p>
    <w:p w14:paraId="7CF5ADC2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Počas prvých 12 hodín po podaní injekcie má byť obmedzený blízky kontakt s tehotnými ženami a malými deťmi.</w:t>
      </w:r>
    </w:p>
    <w:p w14:paraId="7817F8A3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</w:p>
    <w:p w14:paraId="4AAA8D82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  <w:t>Zvláštne upozornenie</w:t>
      </w:r>
    </w:p>
    <w:p w14:paraId="0C039DA7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V závislosti od času, keď sa podáva injekcia pripravená okamžite po úprave pH, môže byť obsah sodíka podaný pacientovi v niektorých prípadoch vyšší ako 1 mmol (23 mg). Musí sa vziať do úvahy u pacientov na diéte s kontrolovaným obsahom sodíka.</w:t>
      </w:r>
    </w:p>
    <w:p w14:paraId="01C3D8F4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Bezpečnostné opatrenia s ohľadom na environmentálne riziká: pozri časť 6.6.</w:t>
      </w:r>
    </w:p>
    <w:p w14:paraId="5166AE7B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6B40741C" w14:textId="42E6C018" w:rsidR="00934730" w:rsidRPr="00B85990" w:rsidRDefault="00934730" w:rsidP="009A0164">
      <w:pPr>
        <w:pStyle w:val="Nadpis2"/>
        <w:spacing w:before="0" w:after="0"/>
        <w:rPr>
          <w:rFonts w:eastAsia="Times New Roman"/>
          <w:lang w:eastAsia="sk-SK"/>
        </w:rPr>
      </w:pPr>
      <w:r w:rsidRPr="00B85990">
        <w:rPr>
          <w:rFonts w:eastAsia="Times New Roman"/>
          <w:lang w:eastAsia="sk-SK"/>
        </w:rPr>
        <w:t>4.5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Liekové a iné interakcie</w:t>
      </w:r>
    </w:p>
    <w:p w14:paraId="5E1F8DE9" w14:textId="77777777" w:rsidR="009A0164" w:rsidRDefault="009A0164" w:rsidP="009A016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</w:pPr>
    </w:p>
    <w:p w14:paraId="22B33555" w14:textId="2F5B56D9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</w:pPr>
      <w:proofErr w:type="spellStart"/>
      <w:r w:rsidRPr="00B85990"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  <w:t>Karbidopa</w:t>
      </w:r>
      <w:proofErr w:type="spellEnd"/>
    </w:p>
    <w:p w14:paraId="5011CBBB" w14:textId="63F08499" w:rsidR="00934730" w:rsidRPr="00B85990" w:rsidRDefault="00980B5A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Použitie </w:t>
      </w:r>
      <w:proofErr w:type="spellStart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karbidopy</w:t>
      </w:r>
      <w:proofErr w:type="spellEnd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p</w:t>
      </w:r>
      <w:r w:rsidR="00934730"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red podaním </w:t>
      </w:r>
      <w:proofErr w:type="spellStart"/>
      <w:r w:rsidR="00934730"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fluórdopy</w:t>
      </w:r>
      <w:proofErr w:type="spellEnd"/>
      <w:r w:rsidR="00934730"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(</w:t>
      </w:r>
      <w:r w:rsidR="00934730"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="00934730"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F) môže zvýšiť biologickú dostupnosť fluórdopy (</w:t>
      </w:r>
      <w:r w:rsidR="00934730"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="00934730"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F) do mozgu inhibíciou periférnej aktivity </w:t>
      </w:r>
      <w:proofErr w:type="spellStart"/>
      <w:r w:rsidR="00934730"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dekarboxylázy</w:t>
      </w:r>
      <w:proofErr w:type="spellEnd"/>
      <w:r w:rsidR="00934730"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a obmedzením periférneho metabolizmu fluórdopy (</w:t>
      </w:r>
      <w:r w:rsidR="00934730"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="00934730"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F) s tvorbou 3-O-metyl-fluórdopy (</w:t>
      </w:r>
      <w:r w:rsidR="00934730"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="00934730"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F).</w:t>
      </w:r>
    </w:p>
    <w:p w14:paraId="55C19435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</w:p>
    <w:p w14:paraId="7E5F95D5" w14:textId="77777777" w:rsidR="00934730" w:rsidRPr="00B85990" w:rsidRDefault="00934730" w:rsidP="009A0164">
      <w:pPr>
        <w:keepNext/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  <w:t>Haloperidol</w:t>
      </w:r>
    </w:p>
    <w:p w14:paraId="340411C1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Zvýšený obrat </w:t>
      </w:r>
      <w:proofErr w:type="spellStart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intracerebrálneho</w:t>
      </w:r>
      <w:proofErr w:type="spellEnd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dopamínu spôsobený </w:t>
      </w:r>
      <w:proofErr w:type="spellStart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haloperidolom</w:t>
      </w:r>
      <w:proofErr w:type="spellEnd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môže viesť k zvýšenej akumulácii fluórdopy (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F).</w:t>
      </w:r>
    </w:p>
    <w:p w14:paraId="1B29D8E1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</w:pPr>
    </w:p>
    <w:p w14:paraId="2F71F952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  <w:t xml:space="preserve">Inhibítory </w:t>
      </w:r>
      <w:proofErr w:type="spellStart"/>
      <w:r w:rsidRPr="00B85990"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  <w:t>monoaminooxidázy</w:t>
      </w:r>
      <w:proofErr w:type="spellEnd"/>
      <w:r w:rsidRPr="00B85990"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  <w:t xml:space="preserve"> (MAO)</w:t>
      </w:r>
    </w:p>
    <w:p w14:paraId="42768080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Súbežné užívanie s inhibítormi MAO môže viesť k zvýšenej akumulácii fluórdopy (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F) v mozgu.</w:t>
      </w:r>
    </w:p>
    <w:p w14:paraId="572C93CD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</w:p>
    <w:p w14:paraId="642F0F7D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lang w:eastAsia="sk-SK"/>
          <w14:ligatures w14:val="none"/>
        </w:rPr>
        <w:t>Rezerpín</w:t>
      </w:r>
    </w:p>
    <w:p w14:paraId="7C721D73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proofErr w:type="spellStart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Rezerpínom</w:t>
      </w:r>
      <w:proofErr w:type="spellEnd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indukovaná </w:t>
      </w:r>
      <w:proofErr w:type="spellStart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deplécia</w:t>
      </w:r>
      <w:proofErr w:type="spellEnd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obsahu </w:t>
      </w:r>
      <w:proofErr w:type="spellStart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intraneuronálnych</w:t>
      </w:r>
      <w:proofErr w:type="spellEnd"/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 vačkov môže zabrániť zadržiavaniu fluórdopy (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F) v mozgu.</w:t>
      </w:r>
    </w:p>
    <w:p w14:paraId="40E0CC53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</w:p>
    <w:p w14:paraId="0B0B5643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  <w:lastRenderedPageBreak/>
        <w:t>Pediatrická populácia</w:t>
      </w:r>
    </w:p>
    <w:p w14:paraId="4CF8EE1A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Interakčné štúdie boli vykonané iba u dospelých.</w:t>
      </w:r>
    </w:p>
    <w:p w14:paraId="04D34A45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38D4DEFB" w14:textId="0BBCB7BA" w:rsidR="00934730" w:rsidRPr="00B85990" w:rsidRDefault="00934730" w:rsidP="009A0164">
      <w:pPr>
        <w:pStyle w:val="Nadpis2"/>
        <w:spacing w:before="0" w:after="0"/>
        <w:rPr>
          <w:rFonts w:eastAsia="Calibri"/>
          <w:lang w:eastAsia="sk-SK"/>
        </w:rPr>
      </w:pPr>
      <w:r w:rsidRPr="00B85990">
        <w:rPr>
          <w:rFonts w:eastAsia="Times New Roman"/>
          <w:lang w:eastAsia="sk-SK"/>
        </w:rPr>
        <w:t>4.6</w:t>
      </w:r>
      <w:r w:rsidRPr="00B85990">
        <w:rPr>
          <w:rFonts w:eastAsia="Arial"/>
          <w:lang w:eastAsia="sk-SK"/>
        </w:rPr>
        <w:tab/>
      </w:r>
      <w:proofErr w:type="spellStart"/>
      <w:r w:rsidRPr="00B85990">
        <w:rPr>
          <w:rFonts w:eastAsia="Times New Roman"/>
          <w:lang w:eastAsia="sk-SK"/>
        </w:rPr>
        <w:t>Fertilita</w:t>
      </w:r>
      <w:proofErr w:type="spellEnd"/>
      <w:r w:rsidRPr="00B85990">
        <w:rPr>
          <w:rFonts w:eastAsia="Times New Roman"/>
          <w:lang w:eastAsia="sk-SK"/>
        </w:rPr>
        <w:t>, gravidita a laktácia</w:t>
      </w:r>
    </w:p>
    <w:p w14:paraId="6A40C6FA" w14:textId="77777777" w:rsidR="009A0164" w:rsidRDefault="009A0164" w:rsidP="009A0164">
      <w:pPr>
        <w:keepNext/>
        <w:keepLines/>
        <w:spacing w:after="0" w:line="240" w:lineRule="auto"/>
        <w:outlineLvl w:val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val="single" w:color="000000"/>
          <w:lang w:eastAsia="sk-SK"/>
          <w14:ligatures w14:val="none"/>
        </w:rPr>
      </w:pPr>
    </w:p>
    <w:p w14:paraId="597B1993" w14:textId="48832575" w:rsidR="00934730" w:rsidRPr="00B85990" w:rsidRDefault="00934730" w:rsidP="00934730">
      <w:pPr>
        <w:keepNext/>
        <w:keepLines/>
        <w:spacing w:after="0" w:line="240" w:lineRule="auto"/>
        <w:outlineLvl w:val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val="single" w:color="000000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val="single" w:color="000000"/>
          <w:lang w:eastAsia="sk-SK"/>
          <w14:ligatures w14:val="none"/>
        </w:rPr>
        <w:t>Ženy vo fertilnom veku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color="000000"/>
          <w:lang w:eastAsia="sk-SK"/>
          <w14:ligatures w14:val="none"/>
        </w:rPr>
        <w:t xml:space="preserve"> </w:t>
      </w:r>
    </w:p>
    <w:p w14:paraId="629106CC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Ak je nevyhnutné aplikovať rádioaktívny liek žene vo fertilnom veku, vždy je nevyhnutné presvedčiť sa o tom, či nie je tehotná. Každá žena, ktorej vynechala menštruácia, sa má považovať za tehotnú, pokiaľ sa nepreukáže opak. V prípade neistoty možného tehotenstva (vynechaná menštruácia, nepravidelná menštruácia, atď.), majú byť navrhnuté alternatívne vyšetrovacie metódy bez využitia zdrojov ionizujúceho žiarenia (ak také existujú).</w:t>
      </w:r>
    </w:p>
    <w:p w14:paraId="70BEBD9D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607D1363" w14:textId="77777777" w:rsidR="00934730" w:rsidRPr="00B85990" w:rsidRDefault="00934730" w:rsidP="00934730">
      <w:pPr>
        <w:keepNext/>
        <w:keepLines/>
        <w:spacing w:after="0" w:line="240" w:lineRule="auto"/>
        <w:outlineLvl w:val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val="single" w:color="000000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val="single" w:color="000000"/>
          <w:lang w:eastAsia="sk-SK"/>
          <w14:ligatures w14:val="none"/>
        </w:rPr>
        <w:t>Gravidita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color="000000"/>
          <w:lang w:eastAsia="sk-SK"/>
          <w14:ligatures w14:val="none"/>
        </w:rPr>
        <w:t xml:space="preserve"> </w:t>
      </w:r>
    </w:p>
    <w:p w14:paraId="395DB7C6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Použitie 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fluórdopy (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 xml:space="preserve">F) 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je kontraindikované tehotným ženám z dôvodu preventívnej radiačnej ochrany plodu (pozri časť 4.3).</w:t>
      </w:r>
    </w:p>
    <w:p w14:paraId="5B5FF59A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0B5E0A83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  <w:t>Dojčenie</w:t>
      </w:r>
    </w:p>
    <w:p w14:paraId="31C5F6D8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Pred podaním rádiofarmák dojčiacej matke je potrebné zvážiť možnosť odloženia podania rádionuklidu počas doby, kým matka prestane dojčiť, a tiež zvážiť voľbu najvhodnejšieho rádiofarmaka s ohľadom na vylučovanie aktivity do materského mlieka. Ak je podanie považované za nutné, dojčenie sa má prerušiť na dobu 12 hodín a odsaté mlieko sa má zlikvidovať. Je potrebné vyhnúť sa blízkemu kontaktu s malými deťmi a tehotnými ženami počas prvých 12 hodín po podaní injekcie.</w:t>
      </w:r>
    </w:p>
    <w:p w14:paraId="129B793D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7186D88C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  <w:t>Plodnosť</w:t>
      </w:r>
    </w:p>
    <w:p w14:paraId="5D2E6653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Neboli vykonané žiadne štúdie týkajúce sa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fertility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.</w:t>
      </w:r>
    </w:p>
    <w:p w14:paraId="5818548B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387042E5" w14:textId="144058E0" w:rsidR="00934730" w:rsidRPr="00B85990" w:rsidRDefault="00934730" w:rsidP="009A0164">
      <w:pPr>
        <w:pStyle w:val="Nadpis2"/>
        <w:spacing w:before="0" w:after="0"/>
        <w:rPr>
          <w:rFonts w:eastAsia="Calibri"/>
          <w:lang w:eastAsia="sk-SK"/>
        </w:rPr>
      </w:pPr>
      <w:r w:rsidRPr="00B85990">
        <w:rPr>
          <w:rFonts w:eastAsia="Times New Roman"/>
          <w:lang w:eastAsia="sk-SK"/>
        </w:rPr>
        <w:t>4.7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Ovplyvnenie schopnosti viesť vozidlá a obsluhovať stroje</w:t>
      </w:r>
    </w:p>
    <w:p w14:paraId="6D2845FB" w14:textId="77777777" w:rsidR="009A0164" w:rsidRDefault="009A0164" w:rsidP="009A0164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45C32255" w14:textId="6B09AC6A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Vplyv na schopnosť viesť motorové vozidlá a obsluhovať stroje nebol hodnotený. </w:t>
      </w:r>
    </w:p>
    <w:p w14:paraId="6A08FA3B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7574A417" w14:textId="039E4D57" w:rsidR="00934730" w:rsidRPr="00B85990" w:rsidRDefault="00934730" w:rsidP="009A0164">
      <w:pPr>
        <w:pStyle w:val="Nadpis2"/>
        <w:spacing w:before="0" w:after="0"/>
        <w:rPr>
          <w:rFonts w:eastAsia="Times New Roman"/>
          <w:lang w:eastAsia="sk-SK"/>
        </w:rPr>
      </w:pPr>
      <w:r w:rsidRPr="00B85990">
        <w:rPr>
          <w:rFonts w:eastAsia="Times New Roman"/>
          <w:lang w:eastAsia="sk-SK"/>
        </w:rPr>
        <w:t>4.8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Nežiaduce účinky</w:t>
      </w:r>
    </w:p>
    <w:p w14:paraId="697BA7CC" w14:textId="77777777" w:rsidR="009A0164" w:rsidRDefault="009A0164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16C7ED76" w14:textId="3D11A88B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V zriedkavých prípadoch bola hlásená bolesť pri podaní injekcie, ktorá samovoľne odznela v priebehu niekoľkých minút bez akýchkoľvek opatrení.</w:t>
      </w:r>
    </w:p>
    <w:p w14:paraId="0EED78F3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Expozícia ionizujúcemu žiareniu je spájaná s indukciou nádorových ochorení a potenciálnym vznikom dedičných chýb. Vzhľadom na to, že efektívna dávka pri podaní maximálnej odporúčanej aktivity 200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MBq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je 7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mSv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, je očakávaný výskyt týchto nežiaducich účinkov málo pravdepodobný.</w:t>
      </w:r>
    </w:p>
    <w:p w14:paraId="4745B4C7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58352077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u w:val="single"/>
          <w:lang w:eastAsia="sk-SK"/>
          <w14:ligatures w14:val="none"/>
        </w:rPr>
        <w:t>Pediatrická populácia</w:t>
      </w:r>
    </w:p>
    <w:p w14:paraId="092B5DD6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Nežiaduce účinky neboli hlásené.</w:t>
      </w:r>
    </w:p>
    <w:p w14:paraId="5FBB7DBB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36D36878" w14:textId="77777777" w:rsidR="00934730" w:rsidRPr="00B85990" w:rsidRDefault="00934730" w:rsidP="009A0164">
      <w:pPr>
        <w:keepNext/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  <w:t>Hlásenie podozrení na nežiaduce reakcie</w:t>
      </w:r>
    </w:p>
    <w:p w14:paraId="675B8EE5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 w:bidi="bn-BD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Hlásenie podozrení na nežiaduce reakcie po registrácii lieku je dôležité. Umožňuje priebežné monitorovanie pomeru prínosu a rizika lieku. Od zdravotníckych pracovníkov sa vyžaduje, aby hlásili akékoľvek podozrenia na nežiaduce reakcie na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zh-CN"/>
          <w14:ligatures w14:val="none"/>
        </w:rPr>
        <w:t xml:space="preserve"> </w:t>
      </w:r>
      <w:r w:rsidRPr="00631E6E">
        <w:rPr>
          <w:rFonts w:ascii="Times New Roman" w:eastAsia="Calibri" w:hAnsi="Times New Roman" w:cs="Times New Roman"/>
          <w:noProof/>
          <w:color w:val="000000"/>
          <w:kern w:val="0"/>
          <w:sz w:val="22"/>
          <w:szCs w:val="22"/>
          <w:highlight w:val="lightGray"/>
          <w:lang w:eastAsia="sk-SK"/>
          <w14:ligatures w14:val="none"/>
        </w:rPr>
        <w:t>národné centrum hlásenia uvedené v </w:t>
      </w:r>
      <w:hyperlink r:id="rId7" w:history="1">
        <w:r w:rsidRPr="00631E6E">
          <w:rPr>
            <w:rFonts w:ascii="Times New Roman" w:eastAsia="Calibri" w:hAnsi="Times New Roman" w:cs="Times New Roman"/>
            <w:noProof/>
            <w:color w:val="0000FF"/>
            <w:kern w:val="0"/>
            <w:sz w:val="22"/>
            <w:szCs w:val="22"/>
            <w:highlight w:val="lightGray"/>
            <w:u w:val="single"/>
            <w:lang w:eastAsia="sk-SK"/>
            <w14:ligatures w14:val="none"/>
          </w:rPr>
          <w:t>Prílohe V</w:t>
        </w:r>
      </w:hyperlink>
      <w:r w:rsidRPr="009A0164">
        <w:rPr>
          <w:rFonts w:ascii="Times New Roman" w:eastAsia="Calibri" w:hAnsi="Times New Roman" w:cs="Times New Roman"/>
          <w:noProof/>
          <w:color w:val="000000"/>
          <w:kern w:val="0"/>
          <w:sz w:val="22"/>
          <w:szCs w:val="22"/>
          <w:lang w:eastAsia="sk-SK"/>
          <w14:ligatures w14:val="none"/>
        </w:rPr>
        <w:t>.</w:t>
      </w:r>
    </w:p>
    <w:p w14:paraId="3E85D616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2F72DD3D" w14:textId="72A463C3" w:rsidR="00934730" w:rsidRPr="00B85990" w:rsidRDefault="00934730" w:rsidP="009A0164">
      <w:pPr>
        <w:pStyle w:val="Nadpis2"/>
        <w:spacing w:before="0" w:after="0"/>
        <w:rPr>
          <w:rFonts w:eastAsia="Times New Roman"/>
          <w:lang w:eastAsia="sk-SK"/>
        </w:rPr>
      </w:pPr>
      <w:r w:rsidRPr="00B85990">
        <w:rPr>
          <w:rFonts w:eastAsia="Times New Roman"/>
          <w:lang w:eastAsia="sk-SK"/>
        </w:rPr>
        <w:t>4.9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Predávkovanie</w:t>
      </w:r>
    </w:p>
    <w:p w14:paraId="56B82DE0" w14:textId="77777777" w:rsidR="009A0164" w:rsidRDefault="009A0164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649E3F6E" w14:textId="1230018D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Predávkovanie vo farmakologickom zmysle je pri podávaní dávok používaných na diagnostické účely nepravdepodobné.</w:t>
      </w:r>
    </w:p>
    <w:p w14:paraId="25F449BC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kern w:val="0"/>
          <w:sz w:val="22"/>
          <w:szCs w:val="22"/>
          <w:lang w:eastAsia="sk-SK"/>
          <w14:ligatures w14:val="none"/>
        </w:rPr>
        <w:t xml:space="preserve">Ak sa podá nadmerná dávka 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fluórdopy (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Times New Roman" w:hAnsi="Times New Roman" w:cs="Times New Roman"/>
          <w:bCs/>
          <w:color w:val="000000"/>
          <w:kern w:val="0"/>
          <w:sz w:val="22"/>
          <w:szCs w:val="22"/>
          <w:lang w:eastAsia="sk-SK"/>
          <w14:ligatures w14:val="none"/>
        </w:rPr>
        <w:t>F)</w:t>
      </w:r>
      <w:r w:rsidRPr="00B85990">
        <w:rPr>
          <w:rFonts w:ascii="Times New Roman" w:eastAsia="Times New Roman" w:hAnsi="Times New Roman" w:cs="Times New Roman"/>
          <w:kern w:val="0"/>
          <w:sz w:val="22"/>
          <w:szCs w:val="22"/>
          <w:lang w:eastAsia="sk-SK"/>
          <w14:ligatures w14:val="none"/>
        </w:rPr>
        <w:t xml:space="preserve">, je potrebné podanú dávku eliminovať zvýšeným vylučovaním rádionuklidu z tela pomocou forsírovanej </w:t>
      </w:r>
      <w:proofErr w:type="spellStart"/>
      <w:r w:rsidRPr="00B85990">
        <w:rPr>
          <w:rFonts w:ascii="Times New Roman" w:eastAsia="Times New Roman" w:hAnsi="Times New Roman" w:cs="Times New Roman"/>
          <w:kern w:val="0"/>
          <w:sz w:val="22"/>
          <w:szCs w:val="22"/>
          <w:lang w:eastAsia="sk-SK"/>
          <w14:ligatures w14:val="none"/>
        </w:rPr>
        <w:t>diurézy</w:t>
      </w:r>
      <w:proofErr w:type="spellEnd"/>
      <w:r w:rsidRPr="00B85990">
        <w:rPr>
          <w:rFonts w:ascii="Times New Roman" w:eastAsia="Times New Roman" w:hAnsi="Times New Roman" w:cs="Times New Roman"/>
          <w:kern w:val="0"/>
          <w:sz w:val="22"/>
          <w:szCs w:val="22"/>
          <w:lang w:eastAsia="sk-SK"/>
          <w14:ligatures w14:val="none"/>
        </w:rPr>
        <w:t xml:space="preserve"> s častým vyprázdňovaním močového mechúra. Môže byť nápomocné odhadnúť podanú efektívnu dávku.</w:t>
      </w:r>
    </w:p>
    <w:p w14:paraId="27BD84EB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kern w:val="0"/>
          <w:sz w:val="22"/>
          <w:szCs w:val="22"/>
          <w:lang w:eastAsia="sk-SK"/>
          <w14:ligatures w14:val="none"/>
        </w:rPr>
      </w:pPr>
    </w:p>
    <w:p w14:paraId="2CA0FA1F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36A84D6E" w14:textId="27324614" w:rsidR="00934730" w:rsidRPr="00B85990" w:rsidRDefault="00934730" w:rsidP="009A0164">
      <w:pPr>
        <w:pStyle w:val="Nadpis1"/>
        <w:spacing w:before="0" w:after="0"/>
      </w:pPr>
      <w:r w:rsidRPr="00B85990">
        <w:lastRenderedPageBreak/>
        <w:t>5.</w:t>
      </w:r>
      <w:r w:rsidRPr="00B85990">
        <w:tab/>
        <w:t>FARMAKOLOGICKÉ VLASTNOSTI</w:t>
      </w:r>
    </w:p>
    <w:p w14:paraId="71AF4A74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6CC827A5" w14:textId="4EB7363F" w:rsidR="00934730" w:rsidRPr="00B85990" w:rsidRDefault="00934730" w:rsidP="009A0164">
      <w:pPr>
        <w:pStyle w:val="Nadpis2"/>
        <w:tabs>
          <w:tab w:val="left" w:pos="709"/>
        </w:tabs>
        <w:spacing w:before="0" w:after="0"/>
        <w:rPr>
          <w:rFonts w:eastAsia="Calibri"/>
          <w:lang w:eastAsia="sk-SK"/>
        </w:rPr>
      </w:pPr>
      <w:r w:rsidRPr="00B85990">
        <w:rPr>
          <w:rFonts w:eastAsia="Times New Roman"/>
          <w:lang w:eastAsia="sk-SK"/>
        </w:rPr>
        <w:t>5.1</w:t>
      </w:r>
      <w:r w:rsidR="009A0164">
        <w:rPr>
          <w:rFonts w:eastAsia="Times New Roman"/>
          <w:lang w:eastAsia="sk-SK"/>
        </w:rPr>
        <w:tab/>
      </w:r>
      <w:proofErr w:type="spellStart"/>
      <w:r w:rsidRPr="00B85990">
        <w:rPr>
          <w:rFonts w:eastAsia="Times New Roman"/>
          <w:lang w:eastAsia="sk-SK"/>
        </w:rPr>
        <w:t>Farmakodynamické</w:t>
      </w:r>
      <w:proofErr w:type="spellEnd"/>
      <w:r w:rsidRPr="00B85990">
        <w:rPr>
          <w:rFonts w:eastAsia="Times New Roman"/>
          <w:lang w:eastAsia="sk-SK"/>
        </w:rPr>
        <w:t xml:space="preserve"> vlastnosti</w:t>
      </w:r>
    </w:p>
    <w:p w14:paraId="6515A7D5" w14:textId="77777777" w:rsidR="009A0164" w:rsidRDefault="009A0164" w:rsidP="009A0164">
      <w:pPr>
        <w:keepNext/>
        <w:keepLines/>
        <w:spacing w:after="0" w:line="240" w:lineRule="auto"/>
        <w:ind w:right="268"/>
        <w:outlineLvl w:val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color="000000"/>
          <w:lang w:eastAsia="sk-SK"/>
          <w14:ligatures w14:val="none"/>
        </w:rPr>
      </w:pPr>
    </w:p>
    <w:p w14:paraId="55A5C72C" w14:textId="0487B41E" w:rsidR="00934730" w:rsidRPr="00B85990" w:rsidRDefault="00934730" w:rsidP="00934730">
      <w:pPr>
        <w:keepNext/>
        <w:keepLines/>
        <w:spacing w:after="0" w:line="240" w:lineRule="auto"/>
        <w:ind w:right="268"/>
        <w:outlineLvl w:val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color="000000"/>
          <w:lang w:eastAsia="sk-SK"/>
          <w14:ligatures w14:val="none"/>
        </w:rPr>
      </w:pP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color="000000"/>
          <w:lang w:eastAsia="sk-SK"/>
          <w14:ligatures w14:val="none"/>
        </w:rPr>
        <w:t>Farmakoterapeutická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color="000000"/>
          <w:lang w:eastAsia="sk-SK"/>
          <w14:ligatures w14:val="none"/>
        </w:rPr>
        <w:t xml:space="preserve"> skupina: iné diagnostické </w:t>
      </w: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color="000000"/>
          <w:lang w:eastAsia="sk-SK"/>
          <w14:ligatures w14:val="none"/>
        </w:rPr>
        <w:t>rádiofarmaká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color="000000"/>
          <w:lang w:eastAsia="sk-SK"/>
          <w14:ligatures w14:val="none"/>
        </w:rPr>
        <w:t xml:space="preserve"> na detekciu nádorov</w:t>
      </w:r>
    </w:p>
    <w:p w14:paraId="53D6C1EB" w14:textId="77777777" w:rsidR="00934730" w:rsidRPr="00B85990" w:rsidRDefault="00934730" w:rsidP="00934730">
      <w:pPr>
        <w:keepNext/>
        <w:keepLines/>
        <w:spacing w:after="0" w:line="240" w:lineRule="auto"/>
        <w:ind w:right="268"/>
        <w:outlineLvl w:val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val="single" w:color="000000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color="000000"/>
          <w:lang w:eastAsia="sk-SK"/>
          <w14:ligatures w14:val="none"/>
        </w:rPr>
        <w:t>ATC kód: V09IX05</w:t>
      </w:r>
    </w:p>
    <w:p w14:paraId="70DA3387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7DF7B61A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  <w:t>Mechanizmus účinku</w:t>
      </w:r>
    </w:p>
    <w:p w14:paraId="23121196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Pozitrónová emisná tomografia s fluórdopou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F) reflektuje vychytávanie fluórdopy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F) cieľovými bunkami a jej premenu na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fluórdopamín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aromatickou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aminokyselinovou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dekarboxylázou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.</w:t>
      </w:r>
    </w:p>
    <w:p w14:paraId="07397100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41B0C7BE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  <w:t>Farmakodynamické účinky</w:t>
      </w:r>
    </w:p>
    <w:p w14:paraId="35EBAD73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Dospelí, starší pacienti a pediatrická populácia:</w:t>
      </w:r>
    </w:p>
    <w:p w14:paraId="2D69DE0F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Pri chemických koncentráciách a aktivitách odporúčaných na diagnostické vyšetrenie nemá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fluórdopa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F) žiadnu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farmakodynamickú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aktivitu.</w:t>
      </w:r>
    </w:p>
    <w:p w14:paraId="5178B1A7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1E442318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  <w:t>Klinická účinnosť a bezpečnosť</w:t>
      </w:r>
    </w:p>
    <w:p w14:paraId="370317E0" w14:textId="77777777" w:rsidR="00934730" w:rsidRPr="00B85990" w:rsidRDefault="00934730" w:rsidP="00934730">
      <w:pPr>
        <w:spacing w:after="0" w:line="240" w:lineRule="auto"/>
        <w:ind w:right="-151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Neuskutočnili sa žiadne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pivotné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klinické skúšania, čo je pre tento typ lieku s viac ako 10 ročným medicínskym použitím akceptovateľné.</w:t>
      </w:r>
    </w:p>
    <w:p w14:paraId="0CB7C325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00C622F5" w14:textId="2534B29B" w:rsidR="00934730" w:rsidRPr="00B85990" w:rsidRDefault="00934730" w:rsidP="009A0164">
      <w:pPr>
        <w:pStyle w:val="Nadpis2"/>
        <w:tabs>
          <w:tab w:val="left" w:pos="709"/>
        </w:tabs>
        <w:spacing w:before="0" w:after="0"/>
        <w:rPr>
          <w:rFonts w:eastAsia="Calibri"/>
          <w:lang w:eastAsia="sk-SK"/>
        </w:rPr>
      </w:pPr>
      <w:r w:rsidRPr="00B85990">
        <w:rPr>
          <w:rFonts w:eastAsia="Times New Roman"/>
          <w:lang w:eastAsia="sk-SK"/>
        </w:rPr>
        <w:t>5.2</w:t>
      </w:r>
      <w:r w:rsidR="009A0164">
        <w:rPr>
          <w:rFonts w:eastAsia="Arial"/>
          <w:lang w:eastAsia="sk-SK"/>
        </w:rPr>
        <w:tab/>
      </w:r>
      <w:proofErr w:type="spellStart"/>
      <w:r w:rsidRPr="00B85990">
        <w:rPr>
          <w:rFonts w:eastAsia="Times New Roman"/>
          <w:lang w:eastAsia="sk-SK"/>
        </w:rPr>
        <w:t>Farmakokinetické</w:t>
      </w:r>
      <w:proofErr w:type="spellEnd"/>
      <w:r w:rsidRPr="00B85990">
        <w:rPr>
          <w:rFonts w:eastAsia="Times New Roman"/>
          <w:lang w:eastAsia="sk-SK"/>
        </w:rPr>
        <w:t xml:space="preserve"> vlastnosti</w:t>
      </w:r>
    </w:p>
    <w:p w14:paraId="1B7C3EAD" w14:textId="77777777" w:rsidR="009A0164" w:rsidRDefault="009A0164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</w:pPr>
    </w:p>
    <w:p w14:paraId="4C37D38A" w14:textId="65A8E594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  <w:t>Distribúcia</w:t>
      </w:r>
    </w:p>
    <w:p w14:paraId="14BB3A5D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Štúdie na zdravých dobrovoľníkoch po podaní fluórdopy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F) ukázali všadeprítomné rozloženie aktivity v telesných tkanivách.</w:t>
      </w:r>
    </w:p>
    <w:p w14:paraId="6DBACFEF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32C7EEF9" w14:textId="77777777" w:rsidR="00934730" w:rsidRPr="00B85990" w:rsidRDefault="00934730" w:rsidP="00934730">
      <w:pPr>
        <w:keepNext/>
        <w:keepLines/>
        <w:spacing w:after="0" w:line="240" w:lineRule="auto"/>
        <w:outlineLvl w:val="2"/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  <w:t>Vychytávanie v orgánoch</w:t>
      </w:r>
    </w:p>
    <w:p w14:paraId="3B2796B5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Fluórdopa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F), analóg aromatickej aminokyseliny, sa rýchlo hromadí v tkanivách, najmä v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striate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ľudského mozgu, a je premenený na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katecholamínový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neurotransmiter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, dopamín.</w:t>
      </w:r>
    </w:p>
    <w:p w14:paraId="78CD65D5" w14:textId="2E2BC99F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Štúdie na ľuďoch ukázali, že vychytávanie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fluórdopy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F) v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striate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a mozočku môže byť zvýšen</w:t>
      </w:r>
      <w:r w:rsidR="00740BFA"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é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približne dvojnáso</w:t>
      </w:r>
      <w:r w:rsidR="00740BFA"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bne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podaním inhibítora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aminokyselinovej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dekarboxylázy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-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karbidopy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.</w:t>
      </w:r>
    </w:p>
    <w:p w14:paraId="7AC8928A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7BAAA334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  <w:t>Eliminácia</w:t>
      </w:r>
    </w:p>
    <w:p w14:paraId="5C43F175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Fluórdopa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F) sa eliminuje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biexponenciálnou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kinetikou s biologickými polčasmi 12 hodín (67-94 %) a 1,7-3,9 hodiny (6-33 %). Oba tieto polčasy sa zdajú byť závislé od veku. Aktivita 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 sa vylučuje obličkami, 50% s polčasom 0,7 hodiny a 50% s polčasom 12 hodín.</w:t>
      </w:r>
    </w:p>
    <w:p w14:paraId="3593012D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63A0F5DC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  <w:t>Polčas</w:t>
      </w:r>
    </w:p>
    <w:p w14:paraId="3104E2F2" w14:textId="4B672C43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Na základe údajov o distribúcii, vychytávaní v orgánoch a eliminácii bol pre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fluórdopu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F) vyvinutý </w:t>
      </w:r>
      <w:proofErr w:type="spellStart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biokinetický</w:t>
      </w:r>
      <w:proofErr w:type="spellEnd"/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model. Tento model predpokladá, že 100% aktivity 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 je homogénne rozložené v tele a eliminované obličkami s biologickými polčasmi 1 hodiny (50%) a 12 hodín (50%). Tento model bol považovaný za model závislý od veku.</w:t>
      </w:r>
    </w:p>
    <w:p w14:paraId="23833894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7C1E575C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  <w:t>Porucha funkcie obličiek/pečene</w:t>
      </w:r>
    </w:p>
    <w:p w14:paraId="330A5D35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Farmakokinetika u pacientov s poruchou funkcie obličiek alebo pečene nebola charakterizovaná.</w:t>
      </w:r>
    </w:p>
    <w:p w14:paraId="2FA68C9A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236CBB53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  <w:t>Pediatrická populácia</w:t>
      </w:r>
    </w:p>
    <w:p w14:paraId="1D5B2EA7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Dostupné údaje o normálnej biologickej distribúcii u detí preukázali, že je podobná ako u dospelých. U detí nie sú k dispozícii žiadne ďalšie špecifické údaje o farmakokinetike.</w:t>
      </w:r>
    </w:p>
    <w:p w14:paraId="4E198BCB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4514BD64" w14:textId="3588E952" w:rsidR="00934730" w:rsidRPr="00B85990" w:rsidRDefault="00934730" w:rsidP="009A0164">
      <w:pPr>
        <w:pStyle w:val="Nadpis2"/>
        <w:spacing w:before="0" w:after="0"/>
        <w:rPr>
          <w:rFonts w:eastAsia="Times New Roman"/>
          <w:lang w:eastAsia="sk-SK"/>
        </w:rPr>
      </w:pPr>
      <w:r w:rsidRPr="00B85990">
        <w:rPr>
          <w:rFonts w:eastAsia="Times New Roman"/>
          <w:lang w:eastAsia="sk-SK"/>
        </w:rPr>
        <w:t>5.3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Predklinické údaje o bezpečnosti</w:t>
      </w:r>
    </w:p>
    <w:p w14:paraId="397D3CB1" w14:textId="77777777" w:rsidR="009A0164" w:rsidRDefault="009A0164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47B28C94" w14:textId="71B4A079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Toxikologické štúdie na potkanoch preukázali, že pri jednorazovej intravenóznej injekcii nezriedenej fluórdopy (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F) pri dávke 5 ml/kg neboli pozorované žiadne úmrtia.</w:t>
      </w:r>
    </w:p>
    <w:p w14:paraId="27C7EF25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Tento liek nie je určený na pravidelné alebo nepretržité podávanie.</w:t>
      </w:r>
    </w:p>
    <w:p w14:paraId="3C2E2F11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Štúdie toxicity pri opakovanom podávaní, štúdie mutagenity a dlhodobé štúdie karcinogenity neboli 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realizované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.</w:t>
      </w:r>
    </w:p>
    <w:p w14:paraId="1F8F04DB" w14:textId="77777777" w:rsidR="0093473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1F141BA8" w14:textId="77777777" w:rsidR="009A0164" w:rsidRPr="00B85990" w:rsidRDefault="009A0164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4CBA0C11" w14:textId="0C7B88C2" w:rsidR="00934730" w:rsidRPr="00B85990" w:rsidRDefault="00934730" w:rsidP="009A0164">
      <w:pPr>
        <w:pStyle w:val="Nadpis1"/>
        <w:spacing w:before="0" w:after="0"/>
        <w:rPr>
          <w:rFonts w:eastAsia="Times New Roman"/>
          <w:lang w:eastAsia="sk-SK"/>
        </w:rPr>
      </w:pPr>
      <w:r w:rsidRPr="00B85990">
        <w:rPr>
          <w:rFonts w:eastAsia="Times New Roman"/>
          <w:lang w:eastAsia="sk-SK"/>
        </w:rPr>
        <w:t>6.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FARMACEUTICKÉ INFORMÁCIE</w:t>
      </w:r>
    </w:p>
    <w:p w14:paraId="186DBF18" w14:textId="77777777" w:rsidR="00934730" w:rsidRPr="00B85990" w:rsidRDefault="00934730" w:rsidP="009A0164">
      <w:pPr>
        <w:keepNext/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4548CA2B" w14:textId="7A3A22B6" w:rsidR="00934730" w:rsidRPr="00B85990" w:rsidRDefault="00934730" w:rsidP="009A0164">
      <w:pPr>
        <w:pStyle w:val="Nadpis2"/>
        <w:spacing w:before="0" w:after="0"/>
        <w:rPr>
          <w:rFonts w:eastAsia="Calibri"/>
          <w:lang w:eastAsia="sk-SK"/>
        </w:rPr>
      </w:pPr>
      <w:r w:rsidRPr="00B85990">
        <w:rPr>
          <w:rFonts w:eastAsia="Times New Roman"/>
          <w:lang w:eastAsia="sk-SK"/>
        </w:rPr>
        <w:t>6.1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Zoznam pomocných látok</w:t>
      </w:r>
    </w:p>
    <w:p w14:paraId="7F83CA3A" w14:textId="77777777" w:rsidR="009A0164" w:rsidRDefault="009A0164" w:rsidP="009A0164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1480B448" w14:textId="6175CE9A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voda na injekcie</w:t>
      </w:r>
    </w:p>
    <w:p w14:paraId="2890EDC6" w14:textId="3AC424B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octan sodný, trihydrát</w:t>
      </w:r>
    </w:p>
    <w:p w14:paraId="5AFE8092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kyselina octová</w:t>
      </w:r>
    </w:p>
    <w:p w14:paraId="7097515B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kyselina askorbová</w:t>
      </w:r>
    </w:p>
    <w:p w14:paraId="7818F49C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citrónan sodný</w:t>
      </w:r>
    </w:p>
    <w:p w14:paraId="706CFBE1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kyselina citrónová</w:t>
      </w:r>
    </w:p>
    <w:p w14:paraId="2007E6A5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edetát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</w:t>
      </w: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disodný</w:t>
      </w:r>
      <w:proofErr w:type="spellEnd"/>
    </w:p>
    <w:p w14:paraId="6A27FDD0" w14:textId="77777777" w:rsidR="00934730" w:rsidRPr="00B85990" w:rsidRDefault="00934730" w:rsidP="009A0164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1B410568" w14:textId="64A11703" w:rsidR="00934730" w:rsidRPr="00B85990" w:rsidRDefault="00934730" w:rsidP="009A0164">
      <w:pPr>
        <w:pStyle w:val="Nadpis2"/>
        <w:spacing w:before="0" w:after="0"/>
        <w:rPr>
          <w:rFonts w:eastAsia="Calibri"/>
          <w:lang w:eastAsia="sk-SK"/>
        </w:rPr>
      </w:pPr>
      <w:r w:rsidRPr="00B85990">
        <w:rPr>
          <w:rFonts w:eastAsia="Times New Roman"/>
          <w:lang w:eastAsia="sk-SK"/>
        </w:rPr>
        <w:t>6.2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Inkompatibility</w:t>
      </w:r>
    </w:p>
    <w:p w14:paraId="3139B9DB" w14:textId="77777777" w:rsidR="009A0164" w:rsidRDefault="009A0164" w:rsidP="009A0164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28792F63" w14:textId="23528EB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Tento liek sa nesmie miešať s inými liekmi, okrem tých, ktoré sú uvedené v časti 12. </w:t>
      </w:r>
    </w:p>
    <w:p w14:paraId="4C1BC32E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601B89DC" w14:textId="28D092EB" w:rsidR="00934730" w:rsidRPr="00B85990" w:rsidRDefault="00934730" w:rsidP="009A0164">
      <w:pPr>
        <w:pStyle w:val="Nadpis2"/>
        <w:spacing w:before="0" w:after="0"/>
        <w:rPr>
          <w:rFonts w:eastAsia="Times New Roman"/>
          <w:u w:val="single" w:color="000000"/>
          <w:lang w:eastAsia="sk-SK"/>
        </w:rPr>
      </w:pPr>
      <w:r w:rsidRPr="00B85990">
        <w:rPr>
          <w:rFonts w:eastAsia="Times New Roman"/>
          <w:u w:color="000000"/>
          <w:lang w:eastAsia="sk-SK"/>
        </w:rPr>
        <w:t>6.3</w:t>
      </w:r>
      <w:r w:rsidRPr="00B85990">
        <w:rPr>
          <w:rFonts w:eastAsia="Arial"/>
          <w:u w:color="000000"/>
          <w:lang w:eastAsia="sk-SK"/>
        </w:rPr>
        <w:tab/>
      </w:r>
      <w:r w:rsidRPr="00B85990">
        <w:rPr>
          <w:rFonts w:eastAsia="Times New Roman"/>
          <w:u w:color="000000"/>
          <w:lang w:eastAsia="sk-SK"/>
        </w:rPr>
        <w:t>Čas použiteľnosti</w:t>
      </w:r>
    </w:p>
    <w:p w14:paraId="0892CD8E" w14:textId="77777777" w:rsidR="009A0164" w:rsidRDefault="009A0164" w:rsidP="009A0164">
      <w:pPr>
        <w:spacing w:after="0" w:line="248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1B84A812" w14:textId="0E9BC2F4" w:rsidR="00934730" w:rsidRPr="00B85990" w:rsidRDefault="00934730" w:rsidP="00934730">
      <w:pPr>
        <w:spacing w:after="5" w:line="248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12 hodín od dátumu a času kalibrácie (koniec času syntézy). </w:t>
      </w:r>
    </w:p>
    <w:p w14:paraId="4B308AA3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20436FBA" w14:textId="12FCBF89" w:rsidR="00934730" w:rsidRPr="00B85990" w:rsidRDefault="00934730" w:rsidP="009A0164">
      <w:pPr>
        <w:pStyle w:val="Nadpis2"/>
        <w:spacing w:before="0" w:after="0"/>
        <w:rPr>
          <w:rFonts w:eastAsia="Times New Roman"/>
          <w:u w:val="single" w:color="000000"/>
          <w:lang w:eastAsia="sk-SK"/>
        </w:rPr>
      </w:pPr>
      <w:r w:rsidRPr="00B85990">
        <w:rPr>
          <w:rFonts w:eastAsia="Times New Roman"/>
          <w:u w:color="000000"/>
          <w:lang w:eastAsia="sk-SK"/>
        </w:rPr>
        <w:t>6.4</w:t>
      </w:r>
      <w:r w:rsidRPr="00B85990">
        <w:rPr>
          <w:rFonts w:eastAsia="Arial"/>
          <w:u w:color="000000"/>
          <w:lang w:eastAsia="sk-SK"/>
        </w:rPr>
        <w:tab/>
      </w:r>
      <w:r w:rsidRPr="00B85990">
        <w:rPr>
          <w:rFonts w:eastAsia="Times New Roman"/>
          <w:u w:color="000000"/>
          <w:lang w:eastAsia="sk-SK"/>
        </w:rPr>
        <w:t>Špeciálne upozornenia na uchovávanie</w:t>
      </w:r>
    </w:p>
    <w:p w14:paraId="43642AE9" w14:textId="77777777" w:rsidR="009A0164" w:rsidRDefault="009A0164" w:rsidP="009A0164">
      <w:pPr>
        <w:spacing w:after="0" w:line="240" w:lineRule="auto"/>
        <w:ind w:right="125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5621E43F" w14:textId="4CDC8842" w:rsidR="00934730" w:rsidRPr="00B85990" w:rsidRDefault="00934730" w:rsidP="00934730">
      <w:pPr>
        <w:spacing w:after="0" w:line="240" w:lineRule="auto"/>
        <w:ind w:right="125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Uchovávajte pri teplote do 25°C. Neuchovávajte v chladničke alebo mrazničke. Uchovávajte v pôvodnom obale. </w:t>
      </w:r>
    </w:p>
    <w:p w14:paraId="6D3E2F22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Rádiofarmaká sa majú uchovávať v súlade s národnými predpismi pre rádioaktívne materiály. </w:t>
      </w:r>
    </w:p>
    <w:p w14:paraId="05A31AEC" w14:textId="77777777" w:rsidR="00934730" w:rsidRPr="00B85990" w:rsidRDefault="00934730" w:rsidP="00934730">
      <w:pPr>
        <w:spacing w:after="0" w:line="240" w:lineRule="auto"/>
        <w:ind w:right="125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Chemická a fyzikálna stabilita pred použitím bola preukázaná počas 12 hodín pri teplote 25°C. Z mikrobiologického hľadiska, pokiaľ spôsob otvorenia nevylučuje riziko mikrobiálnej kontaminácie, sa má liek použiť okamžite. Ak sa nepoužije okamžite, za dobu a podmienky skladovania pred použitím zodpovedá používateľ.</w:t>
      </w:r>
    </w:p>
    <w:p w14:paraId="5D4C950B" w14:textId="77777777" w:rsidR="00934730" w:rsidRPr="00B85990" w:rsidRDefault="00934730" w:rsidP="009A0164">
      <w:pPr>
        <w:spacing w:after="0" w:line="240" w:lineRule="auto"/>
        <w:ind w:right="125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5DFEA182" w14:textId="4B3D7E88" w:rsidR="00934730" w:rsidRPr="00B85990" w:rsidRDefault="00934730" w:rsidP="009A0164">
      <w:pPr>
        <w:pStyle w:val="Nadpis2"/>
        <w:spacing w:before="0" w:after="0"/>
        <w:rPr>
          <w:rFonts w:eastAsia="Times New Roman"/>
          <w:u w:val="single" w:color="000000"/>
          <w:lang w:eastAsia="sk-SK"/>
        </w:rPr>
      </w:pPr>
      <w:r w:rsidRPr="00B85990">
        <w:rPr>
          <w:rFonts w:eastAsia="Times New Roman"/>
          <w:u w:color="000000"/>
          <w:lang w:eastAsia="sk-SK"/>
        </w:rPr>
        <w:t>6.5</w:t>
      </w:r>
      <w:r w:rsidRPr="00B85990">
        <w:rPr>
          <w:rFonts w:eastAsia="Arial"/>
          <w:u w:color="000000"/>
          <w:lang w:eastAsia="sk-SK"/>
        </w:rPr>
        <w:tab/>
      </w:r>
      <w:r w:rsidRPr="00B85990">
        <w:rPr>
          <w:rFonts w:eastAsia="Times New Roman"/>
          <w:u w:color="000000"/>
          <w:lang w:eastAsia="sk-SK"/>
        </w:rPr>
        <w:t>Druh obalu a obsah balenia</w:t>
      </w:r>
    </w:p>
    <w:p w14:paraId="6765684C" w14:textId="77777777" w:rsidR="009A0164" w:rsidRDefault="009A0164" w:rsidP="009A0164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0C86E241" w14:textId="054C9E66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Viacdávková 10 ml injekčná liekovka, vyrobená z neutrálneho bezfarebného skla typu I (podľa Európskeho liekopisu) uzatvorená chlórbutylovým alebo brómbutylovým uzáverom a zabezpečená hliníkovým tesnením. </w:t>
      </w:r>
    </w:p>
    <w:p w14:paraId="2DA28BEA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Jedna injekčná liekovka obsahuje 0,2 až 10 ml roztoku, čo zodpovedá 880 – 7 000 MBq/ml v čase kalibrácie (koniec času syntézy). Aktivita v injekčnej liekovke sa k dátumu a času kalibrácie pohybuje od 176 MBq do 70 000 MBq.</w:t>
      </w:r>
    </w:p>
    <w:p w14:paraId="4FDE619B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215349BB" w14:textId="3AACFE19" w:rsidR="00934730" w:rsidRPr="00B85990" w:rsidRDefault="00934730" w:rsidP="009A0164">
      <w:pPr>
        <w:pStyle w:val="Nadpis2"/>
        <w:spacing w:before="0" w:after="0"/>
        <w:rPr>
          <w:rFonts w:eastAsia="Times New Roman"/>
          <w:u w:val="single" w:color="000000"/>
          <w:lang w:eastAsia="sk-SK"/>
        </w:rPr>
      </w:pPr>
      <w:r w:rsidRPr="00B85990">
        <w:rPr>
          <w:rFonts w:eastAsia="Times New Roman"/>
          <w:u w:color="000000"/>
          <w:lang w:eastAsia="sk-SK"/>
        </w:rPr>
        <w:t>6.6</w:t>
      </w:r>
      <w:r w:rsidRPr="00B85990">
        <w:rPr>
          <w:rFonts w:eastAsia="Arial"/>
          <w:u w:color="000000"/>
          <w:lang w:eastAsia="sk-SK"/>
        </w:rPr>
        <w:tab/>
      </w:r>
      <w:r w:rsidRPr="00B85990">
        <w:rPr>
          <w:rFonts w:eastAsia="Times New Roman"/>
          <w:u w:color="000000"/>
          <w:lang w:eastAsia="sk-SK"/>
        </w:rPr>
        <w:t>Špeciálne opatrenia na likvidáciu a iné zaobchádzanie s liekom</w:t>
      </w:r>
    </w:p>
    <w:p w14:paraId="5E025909" w14:textId="77777777" w:rsidR="009A0164" w:rsidRDefault="009A0164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</w:pPr>
    </w:p>
    <w:p w14:paraId="13405D48" w14:textId="112BF27D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u w:val="single"/>
          <w:lang w:eastAsia="sk-SK"/>
          <w14:ligatures w14:val="none"/>
        </w:rPr>
        <w:t xml:space="preserve">Všeobecné upozornenia </w:t>
      </w:r>
    </w:p>
    <w:p w14:paraId="27475E89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Rádiofarmaká môžu prijímať, používať a podávať iba oprávnené osoby vo vybraných zdravotníckych zariadeniach. Príjem rádiofarmák, ich uchovávanie, používanie, preprava a kontrola sú predmetom povolení a/alebo licencií kompetentných inštitúcií.</w:t>
      </w:r>
    </w:p>
    <w:p w14:paraId="78027D44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128C8F32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Rádiofarmaká sa musia pripravovať spôsobom, ktorý spĺňa požiadavky na radiačnú bezpečnosť a farmaceutickú kvalitu. Je potrebné dodržiavať príslušné aseptické postupy.</w:t>
      </w:r>
    </w:p>
    <w:p w14:paraId="355E1D73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769C85AA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Pokyny na predbežnú prípravu lieku pred podaním, pozri časť 12.</w:t>
      </w:r>
    </w:p>
    <w:p w14:paraId="6DC0B022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Ak je kedykoľvek pri príprave tohto lieku narušená celistvosť injekčnej liekovky, nemá sa použiť.</w:t>
      </w:r>
    </w:p>
    <w:p w14:paraId="1431FF6A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5D20511C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Spôsob prípravy a podávania musia umožniť zníženie rizika kontaminácie a ožiarenia personálu na najnižšiu možnú mieru. Používanie ochranného tienenia je povinné.</w:t>
      </w:r>
    </w:p>
    <w:p w14:paraId="3BD48394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62C88786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Podanie rádiofarmaka vytvára riziko pre ďalšie osoby v dôsledku externého ožiarenia alebo kontaminácie rozliatím moču, zvratkov, atď. Musia sa preto prijať opatrenia na radiačnú ochranu v súlade s národnými predpismi. </w:t>
      </w:r>
    </w:p>
    <w:p w14:paraId="420419D0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325F1D40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Všetok nepoužitý liek alebo odpad vzniknutý z lieku sa má zlikvidovať v súlade s národnými požiadavkami. </w:t>
      </w:r>
    </w:p>
    <w:p w14:paraId="2D4B0A97" w14:textId="77777777" w:rsidR="0093473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30F0231E" w14:textId="77777777" w:rsidR="009A0164" w:rsidRPr="00B85990" w:rsidRDefault="009A0164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32E21F51" w14:textId="610DB673" w:rsidR="00934730" w:rsidRPr="00B85990" w:rsidRDefault="00934730" w:rsidP="009A0164">
      <w:pPr>
        <w:pStyle w:val="Nadpis1"/>
        <w:spacing w:before="0" w:after="0"/>
        <w:rPr>
          <w:rFonts w:eastAsia="Calibri"/>
          <w:lang w:eastAsia="sk-SK"/>
        </w:rPr>
      </w:pPr>
      <w:r w:rsidRPr="00B85990">
        <w:rPr>
          <w:rFonts w:eastAsia="Times New Roman"/>
          <w:lang w:eastAsia="sk-SK"/>
        </w:rPr>
        <w:t>7.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DRŽITEĽ ROZHODNUTIA O REGISTRÁCII</w:t>
      </w:r>
    </w:p>
    <w:p w14:paraId="27D845D0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2EFAF8CE" w14:textId="402C6E38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BIONT, </w:t>
      </w: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a.s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.</w:t>
      </w:r>
    </w:p>
    <w:p w14:paraId="6D27D22C" w14:textId="3CF6C26D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Karloveská 63</w:t>
      </w:r>
    </w:p>
    <w:p w14:paraId="13F4907D" w14:textId="77777777" w:rsidR="00EC2A0B" w:rsidRDefault="00934730" w:rsidP="00934730">
      <w:pPr>
        <w:spacing w:after="0" w:line="240" w:lineRule="auto"/>
        <w:ind w:right="7310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842 29 Bratislava</w:t>
      </w:r>
    </w:p>
    <w:p w14:paraId="2BB6CBEF" w14:textId="4CE9121B" w:rsidR="00934730" w:rsidRPr="00B85990" w:rsidRDefault="00934730" w:rsidP="00934730">
      <w:pPr>
        <w:spacing w:after="0" w:line="240" w:lineRule="auto"/>
        <w:ind w:right="7310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Slovensko</w:t>
      </w:r>
    </w:p>
    <w:p w14:paraId="1CC3B122" w14:textId="350C7830" w:rsidR="00EC2A0B" w:rsidRDefault="00934730" w:rsidP="00EC2A0B">
      <w:pPr>
        <w:spacing w:after="0" w:line="240" w:lineRule="auto"/>
        <w:ind w:right="3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tel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: +421 2 206 70</w:t>
      </w:r>
      <w:r w:rsidR="00EC2A0B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 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749</w:t>
      </w:r>
    </w:p>
    <w:p w14:paraId="1EBA63AC" w14:textId="113E4402" w:rsidR="00934730" w:rsidRPr="00B85990" w:rsidRDefault="00934730" w:rsidP="00EC2A0B">
      <w:pPr>
        <w:spacing w:after="0" w:line="240" w:lineRule="auto"/>
        <w:ind w:right="3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fax: +421 2 206 70748 </w:t>
      </w:r>
    </w:p>
    <w:p w14:paraId="6F8E7AC6" w14:textId="3A6B884E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e-mail: biont@biont.sk</w:t>
      </w:r>
    </w:p>
    <w:p w14:paraId="19A30BC7" w14:textId="77777777" w:rsidR="0093473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0E70CB1A" w14:textId="77777777" w:rsidR="009A0164" w:rsidRPr="00B85990" w:rsidRDefault="009A0164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1F078AD7" w14:textId="01740FE4" w:rsidR="00934730" w:rsidRPr="00B85990" w:rsidRDefault="00934730" w:rsidP="009A0164">
      <w:pPr>
        <w:pStyle w:val="Nadpis1"/>
        <w:spacing w:before="0" w:after="0" w:line="240" w:lineRule="auto"/>
        <w:rPr>
          <w:rFonts w:eastAsia="Calibri"/>
          <w:lang w:eastAsia="sk-SK"/>
        </w:rPr>
      </w:pPr>
      <w:r w:rsidRPr="00B85990">
        <w:rPr>
          <w:rFonts w:eastAsia="Times New Roman"/>
          <w:lang w:eastAsia="sk-SK"/>
        </w:rPr>
        <w:t>8.</w:t>
      </w:r>
      <w:r w:rsidRPr="00B85990">
        <w:rPr>
          <w:rFonts w:eastAsia="Times New Roman"/>
          <w:lang w:eastAsia="sk-SK"/>
        </w:rPr>
        <w:tab/>
        <w:t>REGISTRAČNÉ ČÍSLO</w:t>
      </w:r>
    </w:p>
    <w:p w14:paraId="7F6620C2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0C03BDB2" w14:textId="2C4A7964" w:rsidR="00934730" w:rsidRPr="00B85990" w:rsidRDefault="00F75B76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88/0288/25-S</w:t>
      </w:r>
    </w:p>
    <w:p w14:paraId="06911C07" w14:textId="77777777" w:rsidR="0093473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712C92B3" w14:textId="77777777" w:rsidR="009A0164" w:rsidRPr="00B85990" w:rsidRDefault="009A0164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07ECDB2A" w14:textId="4DD741FB" w:rsidR="00934730" w:rsidRPr="00B85990" w:rsidRDefault="00934730" w:rsidP="009A0164">
      <w:pPr>
        <w:pStyle w:val="Nadpis1"/>
        <w:spacing w:before="0" w:after="0" w:line="240" w:lineRule="auto"/>
        <w:rPr>
          <w:rFonts w:eastAsia="Calibri"/>
          <w:lang w:eastAsia="sk-SK"/>
        </w:rPr>
      </w:pPr>
      <w:r w:rsidRPr="00B85990">
        <w:rPr>
          <w:rFonts w:eastAsia="Times New Roman"/>
          <w:lang w:eastAsia="sk-SK"/>
        </w:rPr>
        <w:t>9.</w:t>
      </w:r>
      <w:r w:rsidRPr="00B85990">
        <w:rPr>
          <w:rFonts w:eastAsia="Times New Roman"/>
          <w:lang w:eastAsia="sk-SK"/>
        </w:rPr>
        <w:tab/>
        <w:t>DÁTUM PRVEJ REGISTRÁCIE/PREDĹŽENIA REGISTRÁCIE</w:t>
      </w:r>
    </w:p>
    <w:p w14:paraId="24A08A97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3DF17C67" w14:textId="560B1AFD" w:rsidR="00934730" w:rsidRPr="00B85990" w:rsidRDefault="00934730" w:rsidP="00934730">
      <w:pPr>
        <w:keepNext/>
        <w:spacing w:after="0" w:line="240" w:lineRule="auto"/>
        <w:rPr>
          <w:rFonts w:ascii="Times New Roman" w:eastAsia="Calibri" w:hAnsi="Times New Roman" w:cs="Times New Roman"/>
          <w:i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Dátum prvej registrácie:</w:t>
      </w:r>
    </w:p>
    <w:p w14:paraId="3F8B53D6" w14:textId="77777777" w:rsidR="0093473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5956C2FF" w14:textId="77777777" w:rsidR="009A0164" w:rsidRPr="00B85990" w:rsidRDefault="009A0164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5F1C01B9" w14:textId="0058FF07" w:rsidR="00934730" w:rsidRPr="00B85990" w:rsidRDefault="00934730" w:rsidP="009A0164">
      <w:pPr>
        <w:pStyle w:val="Nadpis1"/>
        <w:spacing w:before="0" w:after="0" w:line="240" w:lineRule="auto"/>
        <w:rPr>
          <w:rFonts w:eastAsia="Calibri"/>
          <w:lang w:eastAsia="sk-SK"/>
        </w:rPr>
      </w:pPr>
      <w:r w:rsidRPr="00B85990">
        <w:rPr>
          <w:rFonts w:eastAsia="Times New Roman"/>
          <w:lang w:eastAsia="sk-SK"/>
        </w:rPr>
        <w:t>10.</w:t>
      </w:r>
      <w:r w:rsidRPr="00B85990">
        <w:rPr>
          <w:rFonts w:eastAsia="Times New Roman"/>
          <w:lang w:eastAsia="sk-SK"/>
        </w:rPr>
        <w:tab/>
        <w:t>DÁTUM REVÍZIE TEXTU</w:t>
      </w:r>
    </w:p>
    <w:p w14:paraId="507AECE6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16DF1377" w14:textId="271E71E8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0</w:t>
      </w:r>
      <w:r w:rsidR="009A0164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9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/2025</w:t>
      </w:r>
    </w:p>
    <w:p w14:paraId="537C2351" w14:textId="77777777" w:rsidR="0093473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083D42F1" w14:textId="77777777" w:rsidR="009A0164" w:rsidRPr="00B85990" w:rsidRDefault="009A0164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5C63C6FF" w14:textId="77F157A9" w:rsidR="00934730" w:rsidRPr="00B85990" w:rsidRDefault="00934730" w:rsidP="009A0164">
      <w:pPr>
        <w:pStyle w:val="Nadpis1"/>
        <w:spacing w:before="0" w:after="0" w:line="240" w:lineRule="auto"/>
        <w:rPr>
          <w:rFonts w:eastAsia="Times New Roman"/>
          <w:lang w:eastAsia="sk-SK"/>
        </w:rPr>
      </w:pPr>
      <w:r w:rsidRPr="00B85990">
        <w:rPr>
          <w:rFonts w:eastAsia="Times New Roman"/>
          <w:lang w:eastAsia="sk-SK"/>
        </w:rPr>
        <w:t>11.</w:t>
      </w:r>
      <w:r w:rsidRPr="00B85990">
        <w:rPr>
          <w:rFonts w:eastAsia="Arial"/>
          <w:lang w:eastAsia="sk-SK"/>
        </w:rPr>
        <w:tab/>
      </w:r>
      <w:r w:rsidRPr="00B85990">
        <w:rPr>
          <w:rFonts w:eastAsia="Times New Roman"/>
          <w:lang w:eastAsia="sk-SK"/>
        </w:rPr>
        <w:t>DOZIMETRIA</w:t>
      </w:r>
    </w:p>
    <w:p w14:paraId="7AD6060A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7FB2B2ED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Nižšie uvedené údaje pochádzajú z publikácie ICRP 106.</w:t>
      </w:r>
    </w:p>
    <w:p w14:paraId="058733B3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</w:t>
      </w:r>
    </w:p>
    <w:tbl>
      <w:tblPr>
        <w:tblW w:w="9326" w:type="dxa"/>
        <w:tblInd w:w="22" w:type="dxa"/>
        <w:tblCellMar>
          <w:left w:w="106" w:type="dxa"/>
          <w:right w:w="67" w:type="dxa"/>
        </w:tblCellMar>
        <w:tblLook w:val="04A0" w:firstRow="1" w:lastRow="0" w:firstColumn="1" w:lastColumn="0" w:noHBand="0" w:noVBand="1"/>
      </w:tblPr>
      <w:tblGrid>
        <w:gridCol w:w="2976"/>
        <w:gridCol w:w="1267"/>
        <w:gridCol w:w="1267"/>
        <w:gridCol w:w="1270"/>
        <w:gridCol w:w="1267"/>
        <w:gridCol w:w="1279"/>
      </w:tblGrid>
      <w:tr w:rsidR="00934730" w:rsidRPr="00B85990" w14:paraId="0FFAF956" w14:textId="77777777" w:rsidTr="00FC10BB">
        <w:trPr>
          <w:trHeight w:val="562"/>
        </w:trPr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70869" w14:textId="77777777" w:rsidR="00934730" w:rsidRPr="00B85990" w:rsidRDefault="00934730" w:rsidP="00FC10BB">
            <w:pPr>
              <w:spacing w:after="0" w:line="240" w:lineRule="auto"/>
              <w:ind w:right="44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Orgán </w:t>
            </w:r>
          </w:p>
        </w:tc>
        <w:tc>
          <w:tcPr>
            <w:tcW w:w="6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A6855" w14:textId="77777777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Absorbovaná dávka na jednotku podanej aktivity </w:t>
            </w:r>
          </w:p>
          <w:p w14:paraId="2F314398" w14:textId="77777777" w:rsidR="00934730" w:rsidRPr="00B85990" w:rsidRDefault="00934730" w:rsidP="00FC10BB">
            <w:pPr>
              <w:spacing w:after="0" w:line="240" w:lineRule="auto"/>
              <w:ind w:right="42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(</w:t>
            </w:r>
            <w:proofErr w:type="spellStart"/>
            <w:r w:rsidRPr="00B85990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mGy</w:t>
            </w:r>
            <w:proofErr w:type="spellEnd"/>
            <w:r w:rsidRPr="00B85990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/</w:t>
            </w:r>
            <w:proofErr w:type="spellStart"/>
            <w:r w:rsidRPr="00B85990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MBq</w:t>
            </w:r>
            <w:proofErr w:type="spellEnd"/>
            <w:r w:rsidRPr="00B85990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)</w:t>
            </w: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 </w:t>
            </w:r>
          </w:p>
        </w:tc>
      </w:tr>
      <w:tr w:rsidR="00934730" w:rsidRPr="00B85990" w14:paraId="069DA355" w14:textId="77777777" w:rsidTr="00FC10BB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C06ED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26BCB" w14:textId="77777777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Dospelí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E1F58" w14:textId="77777777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15 roční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52938" w14:textId="77777777" w:rsidR="00934730" w:rsidRPr="00B85990" w:rsidRDefault="00934730" w:rsidP="00FC10BB">
            <w:pPr>
              <w:spacing w:after="0" w:line="240" w:lineRule="auto"/>
              <w:ind w:right="39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10 roční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B104D" w14:textId="77777777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5 roční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D3457" w14:textId="77777777" w:rsidR="00934730" w:rsidRPr="00B85990" w:rsidRDefault="00934730" w:rsidP="00FC10BB">
            <w:pPr>
              <w:spacing w:after="0" w:line="240" w:lineRule="auto"/>
              <w:ind w:right="44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1 roční </w:t>
            </w:r>
          </w:p>
        </w:tc>
      </w:tr>
      <w:tr w:rsidR="00934730" w:rsidRPr="00B85990" w14:paraId="4382C33A" w14:textId="77777777" w:rsidTr="00FC10BB">
        <w:trPr>
          <w:trHeight w:val="288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B06B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Nadobličky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6FF014" w14:textId="3B2FB417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5A2F18" w14:textId="557B3889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0130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CD810F" w14:textId="4BA9E5D9" w:rsidR="00934730" w:rsidRPr="00B85990" w:rsidRDefault="00934730" w:rsidP="00FC10BB">
            <w:pPr>
              <w:spacing w:after="0" w:line="240" w:lineRule="auto"/>
              <w:ind w:right="38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0190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DD1862" w14:textId="6902C008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0310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FD2BB7" w14:textId="44445B66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0550</w:t>
            </w:r>
          </w:p>
        </w:tc>
      </w:tr>
      <w:tr w:rsidR="00934730" w:rsidRPr="00B85990" w14:paraId="2A94F346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8674F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Močový mechúr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EFF002" w14:textId="15CCC132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3000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D739F1" w14:textId="3A3521E7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3800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D6BBC1" w14:textId="12CA0C4A" w:rsidR="00934730" w:rsidRPr="00B85990" w:rsidRDefault="00934730" w:rsidP="00FC10BB">
            <w:pPr>
              <w:spacing w:after="0" w:line="240" w:lineRule="auto"/>
              <w:ind w:right="38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5700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ED8F7C" w14:textId="5CAD0CE6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7800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A686F9" w14:textId="7E542799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1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0000</w:t>
            </w:r>
          </w:p>
        </w:tc>
      </w:tr>
      <w:tr w:rsidR="00934730" w:rsidRPr="00B85990" w14:paraId="1536F5DA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57EBA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Povrchy kostí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1B6530" w14:textId="341BC199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0096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059E14" w14:textId="2BC2E25C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0120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8E5595" w14:textId="3DFF7C9F" w:rsidR="00934730" w:rsidRPr="00B85990" w:rsidRDefault="00934730" w:rsidP="00FC10BB">
            <w:pPr>
              <w:spacing w:after="0" w:line="240" w:lineRule="auto"/>
              <w:ind w:right="38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0180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7619C2" w14:textId="3A518EB8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0280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C6FF24" w14:textId="6B57FE43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0510</w:t>
            </w:r>
          </w:p>
        </w:tc>
      </w:tr>
      <w:tr w:rsidR="00934730" w:rsidRPr="00B85990" w14:paraId="2492BF9A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263A4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Mozog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35744D" w14:textId="19ECEC0C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0071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BB9333" w14:textId="6EBA7BDA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0088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0AF494" w14:textId="2354B7FB" w:rsidR="00934730" w:rsidRPr="00B85990" w:rsidRDefault="00934730" w:rsidP="00FC10BB">
            <w:pPr>
              <w:spacing w:after="0" w:line="240" w:lineRule="auto"/>
              <w:ind w:right="38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0150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559E92" w14:textId="47D784F4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0240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B1017B" w14:textId="54ACCD02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0440</w:t>
            </w:r>
          </w:p>
        </w:tc>
      </w:tr>
      <w:tr w:rsidR="00934730" w:rsidRPr="00B85990" w14:paraId="5D5B43A4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D2A59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Prsia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DE6309" w14:textId="643193BE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0067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8A2DC8" w14:textId="107EFA8B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0085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0B1F83" w14:textId="2744476D" w:rsidR="00934730" w:rsidRPr="00B85990" w:rsidRDefault="00934730" w:rsidP="00FC10BB">
            <w:pPr>
              <w:spacing w:after="0" w:line="240" w:lineRule="auto"/>
              <w:ind w:right="38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0130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C48D80" w14:textId="7CFB0BE9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0210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754815" w14:textId="46B139ED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0390</w:t>
            </w:r>
          </w:p>
        </w:tc>
      </w:tr>
      <w:tr w:rsidR="00934730" w:rsidRPr="00B85990" w14:paraId="51B32D7D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3EC7B8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Žlčník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14:paraId="308088DB" w14:textId="09DC6694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0100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14:paraId="4E0EF713" w14:textId="3242DD8D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0130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14:paraId="2F29729D" w14:textId="37D0914E" w:rsidR="00934730" w:rsidRPr="00B85990" w:rsidRDefault="00934730" w:rsidP="00FC10BB">
            <w:pPr>
              <w:spacing w:after="0" w:line="240" w:lineRule="auto"/>
              <w:ind w:right="38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0200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14:paraId="641EBB4A" w14:textId="1342F6CB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0290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14:paraId="0A03DFF3" w14:textId="782EF506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0500</w:t>
            </w:r>
          </w:p>
        </w:tc>
      </w:tr>
      <w:tr w:rsidR="00934730" w:rsidRPr="00B85990" w14:paraId="76A6412A" w14:textId="77777777" w:rsidTr="00FC10BB">
        <w:trPr>
          <w:trHeight w:val="225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507CC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Gastrointestinálny trakt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912D3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3E9D8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EB7FE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571C6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AA55A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 </w:t>
            </w:r>
          </w:p>
        </w:tc>
      </w:tr>
      <w:tr w:rsidR="00934730" w:rsidRPr="00B85990" w14:paraId="77592B15" w14:textId="77777777" w:rsidTr="00FC10BB">
        <w:trPr>
          <w:trHeight w:val="312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ECF6F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lastRenderedPageBreak/>
              <w:t xml:space="preserve">Žalúdok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08B3CF" w14:textId="51F74D2E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0095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E6E7E9" w14:textId="40081F18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0120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5BBC13" w14:textId="48E04E63" w:rsidR="00934730" w:rsidRPr="00B85990" w:rsidRDefault="00934730" w:rsidP="00FC10BB">
            <w:pPr>
              <w:spacing w:after="0" w:line="240" w:lineRule="auto"/>
              <w:ind w:right="38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0180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4AE3FE" w14:textId="12FEABFC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0280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195EDD" w14:textId="0136E834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0500</w:t>
            </w:r>
          </w:p>
        </w:tc>
      </w:tr>
      <w:tr w:rsidR="00934730" w:rsidRPr="00B85990" w14:paraId="5D22450A" w14:textId="77777777" w:rsidTr="00FC10BB">
        <w:trPr>
          <w:trHeight w:val="276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6CCED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Tenké črevo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806328" w14:textId="1209714C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0130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68E52C" w14:textId="7A1ABEAE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0170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2CBBB4" w14:textId="211FDEEB" w:rsidR="00934730" w:rsidRPr="00B85990" w:rsidRDefault="00934730" w:rsidP="00FC10BB">
            <w:pPr>
              <w:spacing w:after="0" w:line="240" w:lineRule="auto"/>
              <w:ind w:right="38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0260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299F63" w14:textId="45814C61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0390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D47F3D" w14:textId="41FEE0CC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0650</w:t>
            </w:r>
          </w:p>
        </w:tc>
      </w:tr>
      <w:tr w:rsidR="00934730" w:rsidRPr="00B85990" w14:paraId="11AC1AA0" w14:textId="77777777" w:rsidTr="00FC10BB">
        <w:trPr>
          <w:trHeight w:val="276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F7078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Hrubé črevo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4A6B48" w14:textId="08DB3501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0150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029222" w14:textId="2C9078AD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0180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ACE842" w14:textId="64433EAA" w:rsidR="00934730" w:rsidRPr="00B85990" w:rsidRDefault="00934730" w:rsidP="00FC10BB">
            <w:pPr>
              <w:spacing w:after="0" w:line="240" w:lineRule="auto"/>
              <w:ind w:right="38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0270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5717E0" w14:textId="4A6BF7CD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0410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3BB56E" w14:textId="60C40733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0630</w:t>
            </w:r>
          </w:p>
        </w:tc>
      </w:tr>
      <w:tr w:rsidR="00934730" w:rsidRPr="00B85990" w14:paraId="17B6C24E" w14:textId="77777777" w:rsidTr="00FC10BB">
        <w:trPr>
          <w:trHeight w:val="539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6218D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Stena hrubého čreva – horná časť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1E541" w14:textId="697D3F7F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0120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4CFF2" w14:textId="02561F53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0150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A4EE2" w14:textId="3AFF9465" w:rsidR="00934730" w:rsidRPr="00B85990" w:rsidRDefault="00934730" w:rsidP="00FC10BB">
            <w:pPr>
              <w:spacing w:after="0" w:line="240" w:lineRule="auto"/>
              <w:ind w:right="38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0230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0F105" w14:textId="098EFF7F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0360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B1A24" w14:textId="01B6EA89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0590</w:t>
            </w:r>
          </w:p>
        </w:tc>
      </w:tr>
      <w:tr w:rsidR="00934730" w:rsidRPr="00B85990" w14:paraId="464EABFF" w14:textId="77777777" w:rsidTr="00FC10BB">
        <w:trPr>
          <w:trHeight w:val="578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8DB1D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Stena hrubého čreva – dolná časť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ACAE4" w14:textId="5F9D9C4D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0180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6611F" w14:textId="6424160D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0220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8C95E" w14:textId="5517F18A" w:rsidR="00934730" w:rsidRPr="00B85990" w:rsidRDefault="00934730" w:rsidP="00FC10BB">
            <w:pPr>
              <w:spacing w:after="0" w:line="240" w:lineRule="auto"/>
              <w:ind w:right="38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0330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1CC3B" w14:textId="3AC795C7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0470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4A5EF" w14:textId="79BB43ED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0690</w:t>
            </w:r>
          </w:p>
        </w:tc>
      </w:tr>
      <w:tr w:rsidR="00934730" w:rsidRPr="00B85990" w14:paraId="5926B9F2" w14:textId="77777777" w:rsidTr="00FC10BB">
        <w:trPr>
          <w:trHeight w:val="288"/>
        </w:trPr>
        <w:tc>
          <w:tcPr>
            <w:tcW w:w="29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93E50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Srdce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485362" w14:textId="7F509BFE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0089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B3CC04" w14:textId="2CB0D512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0110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A68136" w14:textId="492C4741" w:rsidR="00934730" w:rsidRPr="00B85990" w:rsidRDefault="00934730" w:rsidP="00FC10BB">
            <w:pPr>
              <w:spacing w:after="0" w:line="240" w:lineRule="auto"/>
              <w:ind w:right="38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0180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B79A3B" w14:textId="67D245FF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0280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A4AA51" w14:textId="4D8531F3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0500</w:t>
            </w:r>
          </w:p>
        </w:tc>
      </w:tr>
      <w:tr w:rsidR="00934730" w:rsidRPr="00B85990" w14:paraId="53CAE471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84E8F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Obličky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AA8F07" w14:textId="0CA76AE5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0310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3DD988" w14:textId="14D4BC4E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0370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CF1605" w14:textId="400EEA6A" w:rsidR="00934730" w:rsidRPr="00B85990" w:rsidRDefault="00934730" w:rsidP="00FC10BB">
            <w:pPr>
              <w:spacing w:after="0" w:line="240" w:lineRule="auto"/>
              <w:ind w:right="38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0520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8C689B" w14:textId="1DCD43CA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0780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95AAEB" w14:textId="4B1D3B5B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1400</w:t>
            </w:r>
          </w:p>
        </w:tc>
      </w:tr>
      <w:tr w:rsidR="00934730" w:rsidRPr="00B85990" w14:paraId="0548FF73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AB28C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Pečeň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906321" w14:textId="77E92F01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0091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379A4C" w14:textId="41929EA2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0120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26F6A8" w14:textId="159E37B1" w:rsidR="00934730" w:rsidRPr="00B85990" w:rsidRDefault="00934730" w:rsidP="00FC10BB">
            <w:pPr>
              <w:spacing w:after="0" w:line="240" w:lineRule="auto"/>
              <w:ind w:right="38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0180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D1427B" w14:textId="1FC23948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0290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F0430B" w14:textId="4B05B48E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0520</w:t>
            </w:r>
          </w:p>
        </w:tc>
      </w:tr>
      <w:tr w:rsidR="00934730" w:rsidRPr="00B85990" w14:paraId="5A7AB370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C9B65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Pľúca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624982" w14:textId="73065E67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0079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AAD592" w14:textId="4F7EA75B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0100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D0179C" w14:textId="69903617" w:rsidR="00934730" w:rsidRPr="00B85990" w:rsidRDefault="00934730" w:rsidP="00FC10BB">
            <w:pPr>
              <w:spacing w:after="0" w:line="240" w:lineRule="auto"/>
              <w:ind w:right="38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0160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267FC8" w14:textId="04E3B257" w:rsidR="00934730" w:rsidRPr="00B85990" w:rsidRDefault="00934730" w:rsidP="00FC10BB">
            <w:pPr>
              <w:spacing w:after="0" w:line="240" w:lineRule="auto"/>
              <w:ind w:right="41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0250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00F9C4" w14:textId="060FB224" w:rsidR="00934730" w:rsidRPr="00B85990" w:rsidRDefault="00934730" w:rsidP="00FC10BB">
            <w:pPr>
              <w:spacing w:after="0" w:line="240" w:lineRule="auto"/>
              <w:ind w:right="43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0460</w:t>
            </w:r>
          </w:p>
        </w:tc>
      </w:tr>
      <w:tr w:rsidR="00934730" w:rsidRPr="00B85990" w14:paraId="069E7BC7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2A45C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Svaly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A81AA4" w14:textId="447AD05B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0099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12C86A" w14:textId="031C7AC1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0120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9F6540" w14:textId="25F08C85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0190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FBFA74" w14:textId="27BA71A8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0300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C40270" w14:textId="3DDE1B4B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0510</w:t>
            </w:r>
          </w:p>
        </w:tc>
      </w:tr>
      <w:tr w:rsidR="00934730" w:rsidRPr="00B85990" w14:paraId="6A841A69" w14:textId="77777777" w:rsidTr="00FC10BB">
        <w:trPr>
          <w:trHeight w:val="288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F22CA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Pažerák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E65A47" w14:textId="39951FC4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0082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2226CB" w14:textId="2D6EBCB0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0100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36FACA" w14:textId="76F22AC3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w w:val="98"/>
                <w:kern w:val="0"/>
                <w:sz w:val="22"/>
                <w:szCs w:val="22"/>
                <w:lang w:eastAsia="sk-SK"/>
                <w14:ligatures w14:val="none"/>
              </w:rPr>
              <w:t>0160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3FBDF8" w14:textId="3F22FC36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0250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67C1D7" w14:textId="7806A30B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0470</w:t>
            </w:r>
          </w:p>
        </w:tc>
      </w:tr>
      <w:tr w:rsidR="00934730" w:rsidRPr="00B85990" w14:paraId="457DA054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62F05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Vaječníky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76BCD7" w14:textId="5BE8673D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0170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375EC5" w14:textId="4BB51D02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0220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3B7D2A" w14:textId="2E9FCE89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0330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3D86AD" w14:textId="335BABCB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0470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64938E" w14:textId="7996F414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0740</w:t>
            </w:r>
          </w:p>
        </w:tc>
      </w:tr>
      <w:tr w:rsidR="00934730" w:rsidRPr="00B85990" w14:paraId="01C9AADE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C8629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Pankreas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33D651" w14:textId="42C02361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0100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B1D258" w14:textId="641F662B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0130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DF498B" w14:textId="371788EC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0200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152F96" w14:textId="3C4840DC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0310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CF8262" w14:textId="339899F8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0560</w:t>
            </w:r>
          </w:p>
        </w:tc>
      </w:tr>
      <w:tr w:rsidR="00934730" w:rsidRPr="00B85990" w14:paraId="5E661C61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CC225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Kostná dreň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A0C175" w14:textId="3BBDF88F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0098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2AA94E" w14:textId="39D3B1B2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0120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ADDC4C" w14:textId="17037BE0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0190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E9039C" w14:textId="44CF1F23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0270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3C53C3" w14:textId="34900830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0470</w:t>
            </w:r>
          </w:p>
        </w:tc>
      </w:tr>
      <w:tr w:rsidR="00934730" w:rsidRPr="00B85990" w14:paraId="377ACDF3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BAC74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Koža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3913D" w14:textId="7A3FA7A8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0080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7CCB8" w14:textId="3523D05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0098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5768E" w14:textId="21E350BF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016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1D28C" w14:textId="3D5E967C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025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6F7BD" w14:textId="0F48829F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049 </w:t>
            </w:r>
          </w:p>
        </w:tc>
      </w:tr>
      <w:tr w:rsidR="00934730" w:rsidRPr="00B85990" w14:paraId="1BE0A455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BB745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Slezina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2C3A8" w14:textId="69E28C1B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036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8EBF5" w14:textId="4CD8B414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050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0ED72" w14:textId="6706DE04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077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20747" w14:textId="0970803A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012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E18F8" w14:textId="1887CA08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22 </w:t>
            </w:r>
          </w:p>
        </w:tc>
      </w:tr>
      <w:tr w:rsidR="00934730" w:rsidRPr="00B85990" w14:paraId="5F94923B" w14:textId="77777777" w:rsidTr="00FC10BB">
        <w:trPr>
          <w:trHeight w:val="288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D1A3D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Semenníky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B442F7" w14:textId="39C0959E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0130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79EF65" w14:textId="12A6D456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0180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E1E497" w14:textId="3F20A983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0300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0B21BE" w14:textId="0A5107C3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0450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1A21EF" w14:textId="555944CA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0700</w:t>
            </w:r>
          </w:p>
        </w:tc>
      </w:tr>
      <w:tr w:rsidR="00934730" w:rsidRPr="00B85990" w14:paraId="445C3458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ADB6A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Týmus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80669F" w14:textId="07A6B7BE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0082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EDB7EE" w14:textId="377515F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0100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B5FAF4" w14:textId="05DEE25C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0160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694625" w14:textId="26A2E32A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0250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B4DBAC" w14:textId="3858324C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0470</w:t>
            </w:r>
          </w:p>
        </w:tc>
      </w:tr>
      <w:tr w:rsidR="00934730" w:rsidRPr="00B85990" w14:paraId="5E41C1D8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0EC29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Štítna žľaza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80B2B7" w14:textId="310A1C25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0081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54FDCE" w14:textId="0549A0E3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0100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99B42F" w14:textId="4C140C4B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0170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A23BBB" w14:textId="012A77CF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0270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DA2171" w14:textId="03E44D0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0500</w:t>
            </w:r>
          </w:p>
        </w:tc>
      </w:tr>
      <w:tr w:rsidR="00934730" w:rsidRPr="00B85990" w14:paraId="02184B44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6547C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Maternica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D3EACB" w14:textId="04DFC670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0280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E34E1B" w14:textId="15515E9E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0330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382BEA" w14:textId="50B15CBE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0530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F97C23" w14:textId="0C41EDAF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0750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1C132B" w14:textId="5EC3AAE4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1100</w:t>
            </w:r>
          </w:p>
        </w:tc>
      </w:tr>
      <w:tr w:rsidR="00934730" w:rsidRPr="00B85990" w14:paraId="25466E49" w14:textId="77777777" w:rsidTr="00FC10BB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C1FBB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Ostatné orgány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2A3355" w14:textId="2C50AD9E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0100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00321A" w14:textId="4D7C439D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0130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8ECA57" w14:textId="6EC3DD02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0190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F53C9B" w14:textId="5DFC54AC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0300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22C758" w14:textId="757C1064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0520</w:t>
            </w:r>
          </w:p>
        </w:tc>
      </w:tr>
      <w:tr w:rsidR="00934730" w:rsidRPr="00B85990" w14:paraId="4A791722" w14:textId="77777777" w:rsidTr="00FC10BB">
        <w:trPr>
          <w:trHeight w:val="288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1AEE7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Efektívna dávka (</w:t>
            </w:r>
            <w:proofErr w:type="spellStart"/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mSv</w:t>
            </w:r>
            <w:proofErr w:type="spellEnd"/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/</w:t>
            </w:r>
            <w:proofErr w:type="spellStart"/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MBq</w:t>
            </w:r>
            <w:proofErr w:type="spellEnd"/>
            <w:r w:rsidRPr="00B859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 xml:space="preserve">)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9F993A" w14:textId="5EE9F1D0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0250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C62095" w14:textId="0E36EDCF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0320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DCDE28" w14:textId="01D8FB5C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0490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4358E8" w14:textId="495E8533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0700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B694D8" w14:textId="18A871D8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0</w:t>
            </w:r>
            <w:r w:rsidR="002C3ED1"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,</w:t>
            </w: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1000</w:t>
            </w:r>
          </w:p>
        </w:tc>
      </w:tr>
      <w:tr w:rsidR="00934730" w:rsidRPr="00B85990" w14:paraId="2184EEA2" w14:textId="77777777" w:rsidTr="00FC10BB">
        <w:trPr>
          <w:trHeight w:val="288"/>
        </w:trPr>
        <w:tc>
          <w:tcPr>
            <w:tcW w:w="93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94626" w14:textId="77777777" w:rsidR="00934730" w:rsidRPr="00B85990" w:rsidRDefault="00934730" w:rsidP="00FC10B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</w:pPr>
            <w:r w:rsidRPr="00B85990"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:lang w:eastAsia="sk-SK"/>
                <w14:ligatures w14:val="none"/>
              </w:rPr>
              <w:t>Stena močového mechúra prispieva 51 % účinnej dávky.</w:t>
            </w:r>
          </w:p>
        </w:tc>
      </w:tr>
    </w:tbl>
    <w:p w14:paraId="03C373A1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</w:t>
      </w:r>
    </w:p>
    <w:p w14:paraId="7C37927E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Účinná dávka vyplývajúca z podania maximálnej odporúčanej aktivity 280 MBq fluórdopy (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vertAlign w:val="superscript"/>
          <w:lang w:eastAsia="sk-SK"/>
          <w14:ligatures w14:val="none"/>
        </w:rPr>
        <w:t>18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F) pre dospelého s hmotnosťou 70 kg je približne 7 </w:t>
      </w: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mSv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.</w:t>
      </w:r>
    </w:p>
    <w:p w14:paraId="7AFBF603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Pre podanú aktivitu 280 MBq je typická dávka žiarenia do kritických orgánov, močového mechúra, maternice a obličiek: 84 </w:t>
      </w: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mGy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, 7,8 </w:t>
      </w: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mGy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, 8,7 </w:t>
      </w: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mGy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 v uvedenom poradí.</w:t>
      </w:r>
    </w:p>
    <w:p w14:paraId="0D3CB376" w14:textId="77777777" w:rsidR="0093473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6B22D503" w14:textId="77777777" w:rsidR="009A0164" w:rsidRPr="00B85990" w:rsidRDefault="009A0164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6CBD6C6A" w14:textId="56D10B3D" w:rsidR="00934730" w:rsidRPr="00B85990" w:rsidRDefault="00934730" w:rsidP="009A0164">
      <w:pPr>
        <w:pStyle w:val="Nadpis1"/>
        <w:spacing w:before="0" w:after="0" w:line="240" w:lineRule="auto"/>
        <w:rPr>
          <w:rFonts w:eastAsia="Times New Roman"/>
          <w:lang w:eastAsia="sk-SK"/>
        </w:rPr>
      </w:pPr>
      <w:r w:rsidRPr="00B85990">
        <w:rPr>
          <w:rFonts w:eastAsia="Times New Roman"/>
          <w:lang w:eastAsia="sk-SK"/>
        </w:rPr>
        <w:t>12.</w:t>
      </w:r>
      <w:r w:rsidRPr="00B85990">
        <w:rPr>
          <w:rFonts w:eastAsia="Times New Roman"/>
          <w:lang w:eastAsia="sk-SK"/>
        </w:rPr>
        <w:tab/>
        <w:t>POKYNY NA PRÍPRAVU RÁDIOFARMÁK</w:t>
      </w:r>
    </w:p>
    <w:p w14:paraId="39F50157" w14:textId="77777777" w:rsidR="00934730" w:rsidRPr="00B85990" w:rsidRDefault="00934730" w:rsidP="009A0164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07413090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Balenie sa musí pred použitím skontrolovať a aktivita zmerať pomocou </w:t>
      </w:r>
      <w:proofErr w:type="spellStart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aktivimetra</w:t>
      </w:r>
      <w:proofErr w:type="spellEnd"/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. </w:t>
      </w:r>
    </w:p>
    <w:p w14:paraId="6AF0C280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Liek sa môže riediť injekčným roztokom chloridu sodného s koncentráciou 9 mg/ml.</w:t>
      </w:r>
    </w:p>
    <w:p w14:paraId="31629F90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Odobratie roztoku sa musí vykonať za aseptických podmienok. Injekčná liekovka sa nesmie otvoriť.</w:t>
      </w:r>
    </w:p>
    <w:p w14:paraId="2F9022EB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Po dezinfekcii zátky sa má roztok odobrať cez zátku pomocou jednorazovej sterilnej injekčnej striekačky s vhodným ochranným tienením a pomocou jednorazovej sterilnej ihly alebo pomocou autorizovaného automatizovaného aplikačného systému.</w:t>
      </w:r>
    </w:p>
    <w:p w14:paraId="47984F69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Ak je narušená celistvosť injekčnej liekovky, liek sa nemá použiť.</w:t>
      </w:r>
    </w:p>
    <w:p w14:paraId="392B5845" w14:textId="77777777" w:rsidR="00934730" w:rsidRPr="00B85990" w:rsidRDefault="00934730" w:rsidP="00934730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</w:p>
    <w:p w14:paraId="4EE622D6" w14:textId="77777777" w:rsidR="00934730" w:rsidRPr="00B85990" w:rsidRDefault="00934730" w:rsidP="00934730">
      <w:pPr>
        <w:keepNext/>
        <w:keepLines/>
        <w:spacing w:after="0" w:line="240" w:lineRule="auto"/>
        <w:outlineLvl w:val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val="single" w:color="000000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val="single" w:color="000000"/>
          <w:lang w:eastAsia="sk-SK"/>
          <w14:ligatures w14:val="none"/>
        </w:rPr>
        <w:t>Kontrola kvality</w:t>
      </w: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u w:color="000000"/>
          <w:lang w:eastAsia="sk-SK"/>
          <w14:ligatures w14:val="none"/>
        </w:rPr>
        <w:t xml:space="preserve"> </w:t>
      </w:r>
    </w:p>
    <w:p w14:paraId="6DD3486D" w14:textId="77777777" w:rsidR="00934730" w:rsidRPr="00B85990" w:rsidRDefault="00934730" w:rsidP="0093473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</w:pPr>
      <w:r w:rsidRPr="00B8599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Roztok sa má pred použitím vizuálne skontrolovať a používať sa majú len číre roztoky bez viditeľných častíc. </w:t>
      </w:r>
    </w:p>
    <w:p w14:paraId="79B45FBF" w14:textId="7CD23051" w:rsidR="00934730" w:rsidRDefault="00934730" w:rsidP="000665C5">
      <w:pPr>
        <w:spacing w:line="259" w:lineRule="auto"/>
      </w:pP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Podrobné informácie o tomto lieku sú dostupné na internetovej stránke</w:t>
      </w:r>
      <w:r w:rsidRPr="00B85990">
        <w:rPr>
          <w:rFonts w:ascii="Times New Roman" w:eastAsia="SimSun" w:hAnsi="Times New Roman" w:cs="Times New Roman"/>
          <w:kern w:val="0"/>
          <w:sz w:val="22"/>
          <w:szCs w:val="20"/>
          <w:lang w:eastAsia="sk-SK"/>
          <w14:ligatures w14:val="none"/>
        </w:rPr>
        <w:t xml:space="preserve"> </w:t>
      </w:r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 xml:space="preserve">Štátneho ústavu pre kontrolu liečiv </w:t>
      </w:r>
      <w:hyperlink r:id="rId8" w:history="1">
        <w:r w:rsidRPr="00B85990">
          <w:rPr>
            <w:rStyle w:val="Hypertextovprepojenie"/>
            <w:rFonts w:ascii="Times New Roman" w:eastAsia="Calibri" w:hAnsi="Times New Roman"/>
            <w:kern w:val="0"/>
            <w:sz w:val="22"/>
            <w:szCs w:val="22"/>
            <w:lang w:eastAsia="sk-SK"/>
            <w14:ligatures w14:val="none"/>
          </w:rPr>
          <w:t>http://www.sukl.sk</w:t>
        </w:r>
      </w:hyperlink>
      <w:r w:rsidRPr="00B85990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k-SK"/>
          <w14:ligatures w14:val="none"/>
        </w:rPr>
        <w:t>.</w:t>
      </w:r>
      <w:bookmarkEnd w:id="0"/>
    </w:p>
    <w:sectPr w:rsidR="00934730" w:rsidSect="00897AA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11" w:h="16841"/>
      <w:pgMar w:top="1151" w:right="1418" w:bottom="1276" w:left="1418" w:header="709" w:footer="771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25C85" w14:textId="77777777" w:rsidR="00AF14C9" w:rsidRDefault="00AF14C9" w:rsidP="009150A0">
      <w:pPr>
        <w:spacing w:after="0" w:line="240" w:lineRule="auto"/>
      </w:pPr>
      <w:r>
        <w:separator/>
      </w:r>
    </w:p>
  </w:endnote>
  <w:endnote w:type="continuationSeparator" w:id="0">
    <w:p w14:paraId="17808BB0" w14:textId="77777777" w:rsidR="00AF14C9" w:rsidRDefault="00AF14C9" w:rsidP="009150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F8A8D" w14:textId="77777777" w:rsidR="00934730" w:rsidRDefault="00934730">
    <w:pPr>
      <w:spacing w:after="0"/>
      <w:ind w:right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t>8</w:t>
    </w:r>
    <w:r>
      <w:fldChar w:fldCharType="end"/>
    </w:r>
    <w:r>
      <w:t xml:space="preserve"> </w:t>
    </w:r>
  </w:p>
  <w:p w14:paraId="5F130C80" w14:textId="77777777" w:rsidR="00934730" w:rsidRDefault="0093473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1C499" w14:textId="77777777" w:rsidR="00934730" w:rsidRPr="00897AA4" w:rsidRDefault="00934730" w:rsidP="00F71CDB">
    <w:pPr>
      <w:pStyle w:val="Pta"/>
      <w:jc w:val="center"/>
      <w:rPr>
        <w:rFonts w:ascii="Times New Roman" w:hAnsi="Times New Roman" w:cs="Times New Roman"/>
        <w:sz w:val="18"/>
        <w:szCs w:val="18"/>
      </w:rPr>
    </w:pPr>
    <w:r w:rsidRPr="00897AA4">
      <w:rPr>
        <w:rFonts w:ascii="Times New Roman" w:hAnsi="Times New Roman" w:cs="Times New Roman"/>
        <w:sz w:val="18"/>
        <w:szCs w:val="18"/>
      </w:rPr>
      <w:fldChar w:fldCharType="begin"/>
    </w:r>
    <w:r w:rsidRPr="00897AA4">
      <w:rPr>
        <w:rFonts w:ascii="Times New Roman" w:hAnsi="Times New Roman" w:cs="Times New Roman"/>
        <w:sz w:val="18"/>
        <w:szCs w:val="18"/>
      </w:rPr>
      <w:instrText>PAGE   \* MERGEFORMAT</w:instrText>
    </w:r>
    <w:r w:rsidRPr="00897AA4">
      <w:rPr>
        <w:rFonts w:ascii="Times New Roman" w:hAnsi="Times New Roman" w:cs="Times New Roman"/>
        <w:sz w:val="18"/>
        <w:szCs w:val="18"/>
      </w:rPr>
      <w:fldChar w:fldCharType="separate"/>
    </w:r>
    <w:r w:rsidRPr="00897AA4">
      <w:rPr>
        <w:rFonts w:ascii="Times New Roman" w:hAnsi="Times New Roman" w:cs="Times New Roman"/>
        <w:noProof/>
        <w:sz w:val="18"/>
        <w:szCs w:val="18"/>
      </w:rPr>
      <w:t>6</w:t>
    </w:r>
    <w:r w:rsidRPr="00897AA4">
      <w:rPr>
        <w:rFonts w:ascii="Times New Roman" w:hAnsi="Times New Roman" w:cs="Times New Roman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72F2A" w14:textId="77777777" w:rsidR="00934730" w:rsidRDefault="00934730">
    <w:pPr>
      <w:spacing w:after="0"/>
      <w:ind w:right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6B0915DA" w14:textId="77777777" w:rsidR="00934730" w:rsidRDefault="0093473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8A8281" w14:textId="77777777" w:rsidR="00AF14C9" w:rsidRDefault="00AF14C9" w:rsidP="009150A0">
      <w:pPr>
        <w:spacing w:after="0" w:line="240" w:lineRule="auto"/>
      </w:pPr>
      <w:r>
        <w:separator/>
      </w:r>
    </w:p>
  </w:footnote>
  <w:footnote w:type="continuationSeparator" w:id="0">
    <w:p w14:paraId="1927D871" w14:textId="77777777" w:rsidR="00AF14C9" w:rsidRDefault="00AF14C9" w:rsidP="009150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B69AB" w14:textId="77777777" w:rsidR="00934730" w:rsidRDefault="00934730"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center" w:pos="3600"/>
        <w:tab w:val="center" w:pos="4320"/>
        <w:tab w:val="center" w:pos="5040"/>
        <w:tab w:val="center" w:pos="5760"/>
        <w:tab w:val="center" w:pos="6480"/>
        <w:tab w:val="center" w:pos="7677"/>
      </w:tabs>
      <w:spacing w:after="129"/>
    </w:pPr>
    <w:proofErr w:type="spellStart"/>
    <w:r>
      <w:rPr>
        <w:b/>
      </w:rPr>
      <w:t>Name</w:t>
    </w:r>
    <w:proofErr w:type="spellEnd"/>
    <w:r>
      <w:rPr>
        <w:b/>
      </w:rPr>
      <w:t xml:space="preserve"> of </w:t>
    </w:r>
    <w:proofErr w:type="spellStart"/>
    <w:r>
      <w:rPr>
        <w:b/>
      </w:rPr>
      <w:t>company</w:t>
    </w:r>
    <w:proofErr w:type="spellEnd"/>
    <w:r>
      <w:rPr>
        <w:b/>
      </w:rPr>
      <w:t xml:space="preserve">: </w:t>
    </w:r>
    <w:r>
      <w:t xml:space="preserve">BIONT, </w:t>
    </w:r>
    <w:proofErr w:type="spellStart"/>
    <w:r>
      <w:t>a.s</w:t>
    </w:r>
    <w:proofErr w:type="spellEnd"/>
    <w:r>
      <w:t xml:space="preserve">.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</w:r>
    <w:r>
      <w:rPr>
        <w:b/>
      </w:rPr>
      <w:t xml:space="preserve">Module 1 </w:t>
    </w:r>
  </w:p>
  <w:p w14:paraId="5A9188B5" w14:textId="77777777" w:rsidR="00934730" w:rsidRDefault="00934730"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center" w:pos="7926"/>
      </w:tabs>
      <w:spacing w:after="0"/>
    </w:pPr>
    <w:proofErr w:type="spellStart"/>
    <w:r>
      <w:rPr>
        <w:b/>
      </w:rPr>
      <w:t>Name</w:t>
    </w:r>
    <w:proofErr w:type="spellEnd"/>
    <w:r>
      <w:rPr>
        <w:b/>
      </w:rPr>
      <w:t xml:space="preserve"> of </w:t>
    </w:r>
    <w:proofErr w:type="spellStart"/>
    <w:r>
      <w:rPr>
        <w:b/>
      </w:rPr>
      <w:t>product</w:t>
    </w:r>
    <w:proofErr w:type="spellEnd"/>
    <w:r>
      <w:rPr>
        <w:b/>
      </w:rPr>
      <w:t xml:space="preserve">: </w:t>
    </w:r>
    <w:r>
      <w:t>[18F]</w:t>
    </w:r>
    <w:proofErr w:type="spellStart"/>
    <w:r>
      <w:t>Fluorocholine</w:t>
    </w:r>
    <w:proofErr w:type="spellEnd"/>
    <w:r>
      <w:t xml:space="preserve"> </w:t>
    </w:r>
    <w:proofErr w:type="spellStart"/>
    <w:r>
      <w:t>Biont</w:t>
    </w:r>
    <w:proofErr w:type="spellEnd"/>
    <w:r>
      <w:t xml:space="preserve"> </w:t>
    </w:r>
    <w:proofErr w:type="spellStart"/>
    <w:r>
      <w:t>Solution</w:t>
    </w:r>
    <w:proofErr w:type="spellEnd"/>
    <w:r>
      <w:t xml:space="preserve"> </w:t>
    </w:r>
    <w:proofErr w:type="spellStart"/>
    <w:r>
      <w:t>for</w:t>
    </w:r>
    <w:proofErr w:type="spellEnd"/>
    <w:r>
      <w:t xml:space="preserve"> </w:t>
    </w:r>
    <w:proofErr w:type="spellStart"/>
    <w:r>
      <w:t>injection</w:t>
    </w:r>
    <w:proofErr w:type="spellEnd"/>
    <w:r>
      <w:t xml:space="preserve">  </w:t>
    </w:r>
    <w:r>
      <w:tab/>
    </w:r>
    <w:proofErr w:type="spellStart"/>
    <w:r>
      <w:rPr>
        <w:b/>
      </w:rPr>
      <w:t>Date</w:t>
    </w:r>
    <w:proofErr w:type="spellEnd"/>
    <w:r>
      <w:t>: Nov 2020</w:t>
    </w:r>
  </w:p>
  <w:p w14:paraId="1C365B74" w14:textId="77777777" w:rsidR="00934730" w:rsidRDefault="00934730">
    <w:pPr>
      <w:spacing w:after="0"/>
    </w:pPr>
    <w:r>
      <w:rPr>
        <w:sz w:val="20"/>
      </w:rPr>
      <w:t xml:space="preserve"> </w:t>
    </w:r>
  </w:p>
  <w:p w14:paraId="6C5F207E" w14:textId="77777777" w:rsidR="00934730" w:rsidRDefault="0093473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4EA4A" w14:textId="75A671A6" w:rsidR="00934730" w:rsidRPr="00897AA4" w:rsidRDefault="00934730">
    <w:pPr>
      <w:pStyle w:val="Hlavika"/>
      <w:rPr>
        <w:rFonts w:ascii="Times New Roman" w:hAnsi="Times New Roman" w:cs="Times New Roman"/>
        <w:sz w:val="18"/>
        <w:szCs w:val="18"/>
      </w:rPr>
    </w:pPr>
    <w:r w:rsidRPr="00897AA4">
      <w:rPr>
        <w:rFonts w:ascii="Times New Roman" w:hAnsi="Times New Roman" w:cs="Times New Roman"/>
        <w:sz w:val="18"/>
        <w:szCs w:val="18"/>
      </w:rPr>
      <w:t>Schválený text k rozhodnutiu o registrácii, ev. č.: 2023/02504-REG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68C36" w14:textId="77777777" w:rsidR="00934730" w:rsidRDefault="00934730"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center" w:pos="3600"/>
        <w:tab w:val="center" w:pos="4320"/>
        <w:tab w:val="center" w:pos="5040"/>
        <w:tab w:val="center" w:pos="5760"/>
        <w:tab w:val="center" w:pos="6480"/>
        <w:tab w:val="center" w:pos="7677"/>
      </w:tabs>
      <w:spacing w:after="129"/>
    </w:pPr>
    <w:proofErr w:type="spellStart"/>
    <w:r>
      <w:rPr>
        <w:b/>
      </w:rPr>
      <w:t>Name</w:t>
    </w:r>
    <w:proofErr w:type="spellEnd"/>
    <w:r>
      <w:rPr>
        <w:b/>
      </w:rPr>
      <w:t xml:space="preserve"> of </w:t>
    </w:r>
    <w:proofErr w:type="spellStart"/>
    <w:r>
      <w:rPr>
        <w:b/>
      </w:rPr>
      <w:t>company</w:t>
    </w:r>
    <w:proofErr w:type="spellEnd"/>
    <w:r>
      <w:rPr>
        <w:b/>
      </w:rPr>
      <w:t xml:space="preserve">: </w:t>
    </w:r>
    <w:r>
      <w:t xml:space="preserve">BIONT, </w:t>
    </w:r>
    <w:proofErr w:type="spellStart"/>
    <w:r>
      <w:t>a.s</w:t>
    </w:r>
    <w:proofErr w:type="spellEnd"/>
    <w:r>
      <w:t xml:space="preserve">.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</w:r>
    <w:r>
      <w:rPr>
        <w:b/>
      </w:rPr>
      <w:t xml:space="preserve">Module 1 </w:t>
    </w:r>
  </w:p>
  <w:p w14:paraId="3BFDDAA5" w14:textId="77777777" w:rsidR="00934730" w:rsidRDefault="00934730"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center" w:pos="7926"/>
      </w:tabs>
      <w:spacing w:after="0"/>
    </w:pPr>
    <w:proofErr w:type="spellStart"/>
    <w:r>
      <w:rPr>
        <w:b/>
      </w:rPr>
      <w:t>Name</w:t>
    </w:r>
    <w:proofErr w:type="spellEnd"/>
    <w:r>
      <w:rPr>
        <w:b/>
      </w:rPr>
      <w:t xml:space="preserve"> of </w:t>
    </w:r>
    <w:proofErr w:type="spellStart"/>
    <w:r>
      <w:rPr>
        <w:b/>
      </w:rPr>
      <w:t>product</w:t>
    </w:r>
    <w:proofErr w:type="spellEnd"/>
    <w:r>
      <w:rPr>
        <w:b/>
      </w:rPr>
      <w:t xml:space="preserve">: </w:t>
    </w:r>
    <w:r>
      <w:t>[18F]</w:t>
    </w:r>
    <w:proofErr w:type="spellStart"/>
    <w:r>
      <w:t>Fluorocholine</w:t>
    </w:r>
    <w:proofErr w:type="spellEnd"/>
    <w:r>
      <w:t xml:space="preserve"> </w:t>
    </w:r>
    <w:proofErr w:type="spellStart"/>
    <w:r>
      <w:t>Biont</w:t>
    </w:r>
    <w:proofErr w:type="spellEnd"/>
    <w:r>
      <w:t xml:space="preserve"> </w:t>
    </w:r>
    <w:proofErr w:type="spellStart"/>
    <w:r>
      <w:t>Solution</w:t>
    </w:r>
    <w:proofErr w:type="spellEnd"/>
    <w:r>
      <w:t xml:space="preserve"> </w:t>
    </w:r>
    <w:proofErr w:type="spellStart"/>
    <w:r>
      <w:t>for</w:t>
    </w:r>
    <w:proofErr w:type="spellEnd"/>
    <w:r>
      <w:t xml:space="preserve"> </w:t>
    </w:r>
    <w:proofErr w:type="spellStart"/>
    <w:r>
      <w:t>injection</w:t>
    </w:r>
    <w:proofErr w:type="spellEnd"/>
    <w:r>
      <w:t xml:space="preserve">  </w:t>
    </w:r>
    <w:r>
      <w:tab/>
    </w:r>
    <w:proofErr w:type="spellStart"/>
    <w:r>
      <w:rPr>
        <w:b/>
      </w:rPr>
      <w:t>Date</w:t>
    </w:r>
    <w:proofErr w:type="spellEnd"/>
    <w:r>
      <w:t>: Jan 2016</w:t>
    </w:r>
    <w:r>
      <w:rPr>
        <w:sz w:val="28"/>
      </w:rPr>
      <w:t xml:space="preserve"> </w:t>
    </w:r>
  </w:p>
  <w:p w14:paraId="14B9BC6B" w14:textId="77777777" w:rsidR="00934730" w:rsidRDefault="00934730">
    <w:pPr>
      <w:spacing w:after="0"/>
    </w:pPr>
    <w:r>
      <w:rPr>
        <w:sz w:val="20"/>
      </w:rPr>
      <w:t xml:space="preserve"> </w:t>
    </w:r>
  </w:p>
  <w:p w14:paraId="347E0B7F" w14:textId="77777777" w:rsidR="00934730" w:rsidRDefault="0093473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52441"/>
    <w:multiLevelType w:val="hybridMultilevel"/>
    <w:tmpl w:val="FE4C7578"/>
    <w:lvl w:ilvl="0" w:tplc="D5EAF242">
      <w:start w:val="1"/>
      <w:numFmt w:val="bullet"/>
      <w:lvlText w:val="-"/>
      <w:lvlJc w:val="left"/>
      <w:pPr>
        <w:ind w:left="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1662EE">
      <w:start w:val="1"/>
      <w:numFmt w:val="bullet"/>
      <w:lvlText w:val="o"/>
      <w:lvlJc w:val="left"/>
      <w:pPr>
        <w:ind w:left="1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D64988">
      <w:start w:val="1"/>
      <w:numFmt w:val="bullet"/>
      <w:lvlText w:val="▪"/>
      <w:lvlJc w:val="left"/>
      <w:pPr>
        <w:ind w:left="2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AAA95E">
      <w:start w:val="1"/>
      <w:numFmt w:val="bullet"/>
      <w:lvlText w:val="•"/>
      <w:lvlJc w:val="left"/>
      <w:pPr>
        <w:ind w:left="2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CA8064">
      <w:start w:val="1"/>
      <w:numFmt w:val="bullet"/>
      <w:lvlText w:val="o"/>
      <w:lvlJc w:val="left"/>
      <w:pPr>
        <w:ind w:left="3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12003A">
      <w:start w:val="1"/>
      <w:numFmt w:val="bullet"/>
      <w:lvlText w:val="▪"/>
      <w:lvlJc w:val="left"/>
      <w:pPr>
        <w:ind w:left="42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866D00">
      <w:start w:val="1"/>
      <w:numFmt w:val="bullet"/>
      <w:lvlText w:val="•"/>
      <w:lvlJc w:val="left"/>
      <w:pPr>
        <w:ind w:left="49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986A12">
      <w:start w:val="1"/>
      <w:numFmt w:val="bullet"/>
      <w:lvlText w:val="o"/>
      <w:lvlJc w:val="left"/>
      <w:pPr>
        <w:ind w:left="56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044758">
      <w:start w:val="1"/>
      <w:numFmt w:val="bullet"/>
      <w:lvlText w:val="▪"/>
      <w:lvlJc w:val="left"/>
      <w:pPr>
        <w:ind w:left="6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FAB168A"/>
    <w:multiLevelType w:val="hybridMultilevel"/>
    <w:tmpl w:val="B1406C62"/>
    <w:lvl w:ilvl="0" w:tplc="60DEA6C6">
      <w:start w:val="8"/>
      <w:numFmt w:val="decimal"/>
      <w:lvlText w:val="%1."/>
      <w:lvlJc w:val="left"/>
      <w:pPr>
        <w:ind w:left="4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B32079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4F0D66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B2C008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3E205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76640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72E42C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AD0E3F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8A82A8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C6D1B2B"/>
    <w:multiLevelType w:val="hybridMultilevel"/>
    <w:tmpl w:val="D77640FE"/>
    <w:lvl w:ilvl="0" w:tplc="EF1C94DA">
      <w:start w:val="18"/>
      <w:numFmt w:val="decimal"/>
      <w:lvlText w:val="%1."/>
      <w:lvlJc w:val="left"/>
      <w:pPr>
        <w:ind w:left="144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2F34501"/>
    <w:multiLevelType w:val="hybridMultilevel"/>
    <w:tmpl w:val="DF3CAA0A"/>
    <w:lvl w:ilvl="0" w:tplc="B974137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84472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8E5AC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B20EB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4E40B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AA561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E8529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C6485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E0F5A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30208F6"/>
    <w:multiLevelType w:val="hybridMultilevel"/>
    <w:tmpl w:val="EFFAD2D4"/>
    <w:lvl w:ilvl="0" w:tplc="98E4ECAA">
      <w:start w:val="1"/>
      <w:numFmt w:val="bullet"/>
      <w:lvlText w:val="-"/>
      <w:lvlJc w:val="left"/>
      <w:pPr>
        <w:ind w:left="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D4B346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C2CD18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447362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D2EBD6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2E7A4A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0AA0A8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622FA4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7A85A6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6230C86"/>
    <w:multiLevelType w:val="hybridMultilevel"/>
    <w:tmpl w:val="20A01A74"/>
    <w:lvl w:ilvl="0" w:tplc="6B668AA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5D638B"/>
    <w:multiLevelType w:val="hybridMultilevel"/>
    <w:tmpl w:val="AAD6804E"/>
    <w:lvl w:ilvl="0" w:tplc="D3F637AC">
      <w:start w:val="1"/>
      <w:numFmt w:val="decimal"/>
      <w:lvlText w:val="%1.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BC42FD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F8E4B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AC0C3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1A98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82A0F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12FC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F2E17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7C39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49A5DC4"/>
    <w:multiLevelType w:val="hybridMultilevel"/>
    <w:tmpl w:val="F7E499B2"/>
    <w:lvl w:ilvl="0" w:tplc="6B668AA8">
      <w:numFmt w:val="bullet"/>
      <w:lvlText w:val="-"/>
      <w:lvlJc w:val="left"/>
      <w:pPr>
        <w:ind w:left="1287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712617FD"/>
    <w:multiLevelType w:val="hybridMultilevel"/>
    <w:tmpl w:val="43F698F0"/>
    <w:lvl w:ilvl="0" w:tplc="6B668AA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2C4DF6"/>
    <w:multiLevelType w:val="hybridMultilevel"/>
    <w:tmpl w:val="DB4A5AF8"/>
    <w:lvl w:ilvl="0" w:tplc="6B668AA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DC7D27"/>
    <w:multiLevelType w:val="hybridMultilevel"/>
    <w:tmpl w:val="4C56F49A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14164745">
    <w:abstractNumId w:val="3"/>
  </w:num>
  <w:num w:numId="2" w16cid:durableId="121045878">
    <w:abstractNumId w:val="1"/>
  </w:num>
  <w:num w:numId="3" w16cid:durableId="1651982674">
    <w:abstractNumId w:val="9"/>
  </w:num>
  <w:num w:numId="4" w16cid:durableId="363867415">
    <w:abstractNumId w:val="8"/>
  </w:num>
  <w:num w:numId="5" w16cid:durableId="797182622">
    <w:abstractNumId w:val="2"/>
  </w:num>
  <w:num w:numId="6" w16cid:durableId="1650673909">
    <w:abstractNumId w:val="6"/>
  </w:num>
  <w:num w:numId="7" w16cid:durableId="323897890">
    <w:abstractNumId w:val="0"/>
  </w:num>
  <w:num w:numId="8" w16cid:durableId="735981482">
    <w:abstractNumId w:val="4"/>
  </w:num>
  <w:num w:numId="9" w16cid:durableId="1205747848">
    <w:abstractNumId w:val="10"/>
  </w:num>
  <w:num w:numId="10" w16cid:durableId="354313007">
    <w:abstractNumId w:val="7"/>
  </w:num>
  <w:num w:numId="11" w16cid:durableId="13657921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730"/>
    <w:rsid w:val="000665C5"/>
    <w:rsid w:val="00116AB2"/>
    <w:rsid w:val="002C3ED1"/>
    <w:rsid w:val="005F4859"/>
    <w:rsid w:val="00631E6E"/>
    <w:rsid w:val="00740BFA"/>
    <w:rsid w:val="00850B1E"/>
    <w:rsid w:val="00897AA4"/>
    <w:rsid w:val="009150A0"/>
    <w:rsid w:val="00934730"/>
    <w:rsid w:val="00980B5A"/>
    <w:rsid w:val="009A0164"/>
    <w:rsid w:val="00A84860"/>
    <w:rsid w:val="00AF14C9"/>
    <w:rsid w:val="00B85990"/>
    <w:rsid w:val="00DA30F1"/>
    <w:rsid w:val="00E40A66"/>
    <w:rsid w:val="00EC2A0B"/>
    <w:rsid w:val="00F75B76"/>
    <w:rsid w:val="00F8240D"/>
    <w:rsid w:val="00FC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470C9C"/>
  <w15:chartTrackingRefBased/>
  <w15:docId w15:val="{15D62BEF-517B-4563-91FE-15676FDEA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34730"/>
  </w:style>
  <w:style w:type="paragraph" w:styleId="Nadpis1">
    <w:name w:val="heading 1"/>
    <w:basedOn w:val="Normlny"/>
    <w:next w:val="Normlny"/>
    <w:link w:val="Nadpis1Char"/>
    <w:uiPriority w:val="9"/>
    <w:qFormat/>
    <w:rsid w:val="00934730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b/>
      <w:sz w:val="22"/>
      <w:szCs w:val="40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934730"/>
    <w:pPr>
      <w:keepNext/>
      <w:keepLines/>
      <w:spacing w:before="160" w:after="80"/>
      <w:outlineLvl w:val="1"/>
    </w:pPr>
    <w:rPr>
      <w:rFonts w:ascii="Times New Roman" w:eastAsiaTheme="majorEastAsia" w:hAnsi="Times New Roman" w:cstheme="majorBidi"/>
      <w:b/>
      <w:sz w:val="22"/>
      <w:szCs w:val="32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9347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9347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347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347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347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347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347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34730"/>
    <w:rPr>
      <w:rFonts w:ascii="Times New Roman" w:eastAsiaTheme="majorEastAsia" w:hAnsi="Times New Roman" w:cstheme="majorBidi"/>
      <w:b/>
      <w:sz w:val="22"/>
      <w:szCs w:val="40"/>
    </w:rPr>
  </w:style>
  <w:style w:type="character" w:customStyle="1" w:styleId="Nadpis2Char">
    <w:name w:val="Nadpis 2 Char"/>
    <w:basedOn w:val="Predvolenpsmoodseku"/>
    <w:link w:val="Nadpis2"/>
    <w:uiPriority w:val="9"/>
    <w:rsid w:val="00934730"/>
    <w:rPr>
      <w:rFonts w:ascii="Times New Roman" w:eastAsiaTheme="majorEastAsia" w:hAnsi="Times New Roman" w:cstheme="majorBidi"/>
      <w:b/>
      <w:sz w:val="22"/>
      <w:szCs w:val="32"/>
    </w:rPr>
  </w:style>
  <w:style w:type="character" w:customStyle="1" w:styleId="Nadpis3Char">
    <w:name w:val="Nadpis 3 Char"/>
    <w:basedOn w:val="Predvolenpsmoodseku"/>
    <w:link w:val="Nadpis3"/>
    <w:uiPriority w:val="9"/>
    <w:rsid w:val="009347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93473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3473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3473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3473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3473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3473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347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9347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347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9347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347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93473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3473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93473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347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3473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34730"/>
    <w:rPr>
      <w:b/>
      <w:bCs/>
      <w:smallCaps/>
      <w:color w:val="2F5496" w:themeColor="accent1" w:themeShade="BF"/>
      <w:spacing w:val="5"/>
    </w:rPr>
  </w:style>
  <w:style w:type="numbering" w:customStyle="1" w:styleId="Bezzoznamu1">
    <w:name w:val="Bez zoznamu1"/>
    <w:next w:val="Bezzoznamu"/>
    <w:uiPriority w:val="99"/>
    <w:semiHidden/>
    <w:unhideWhenUsed/>
    <w:rsid w:val="00934730"/>
  </w:style>
  <w:style w:type="paragraph" w:styleId="Pta">
    <w:name w:val="footer"/>
    <w:basedOn w:val="Normlny"/>
    <w:link w:val="PtaChar"/>
    <w:unhideWhenUsed/>
    <w:rsid w:val="00934730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color w:val="000000"/>
      <w:kern w:val="0"/>
      <w:sz w:val="22"/>
      <w:szCs w:val="22"/>
      <w:lang w:eastAsia="sk-SK"/>
      <w14:ligatures w14:val="none"/>
    </w:rPr>
  </w:style>
  <w:style w:type="character" w:customStyle="1" w:styleId="PtaChar">
    <w:name w:val="Päta Char"/>
    <w:basedOn w:val="Predvolenpsmoodseku"/>
    <w:link w:val="Pta"/>
    <w:rsid w:val="00934730"/>
    <w:rPr>
      <w:rFonts w:ascii="Calibri" w:eastAsia="Calibri" w:hAnsi="Calibri" w:cs="Calibri"/>
      <w:color w:val="000000"/>
      <w:kern w:val="0"/>
      <w:sz w:val="22"/>
      <w:szCs w:val="22"/>
      <w:lang w:eastAsia="sk-SK"/>
      <w14:ligatures w14:val="none"/>
    </w:rPr>
  </w:style>
  <w:style w:type="character" w:customStyle="1" w:styleId="longtext">
    <w:name w:val="long_text"/>
    <w:basedOn w:val="Predvolenpsmoodseku"/>
    <w:rsid w:val="00934730"/>
  </w:style>
  <w:style w:type="character" w:styleId="Hypertextovprepojenie">
    <w:name w:val="Hyperlink"/>
    <w:rsid w:val="00934730"/>
    <w:rPr>
      <w:rFonts w:cs="Times New Roman"/>
      <w:color w:val="0000FF"/>
      <w:u w:val="single"/>
    </w:rPr>
  </w:style>
  <w:style w:type="paragraph" w:styleId="Hlavika">
    <w:name w:val="header"/>
    <w:basedOn w:val="Normlny"/>
    <w:link w:val="HlavikaChar"/>
    <w:unhideWhenUsed/>
    <w:rsid w:val="00934730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color w:val="000000"/>
      <w:kern w:val="0"/>
      <w:sz w:val="22"/>
      <w:szCs w:val="22"/>
      <w:lang w:eastAsia="sk-SK"/>
      <w14:ligatures w14:val="none"/>
    </w:rPr>
  </w:style>
  <w:style w:type="character" w:customStyle="1" w:styleId="HlavikaChar">
    <w:name w:val="Hlavička Char"/>
    <w:basedOn w:val="Predvolenpsmoodseku"/>
    <w:link w:val="Hlavika"/>
    <w:rsid w:val="00934730"/>
    <w:rPr>
      <w:rFonts w:ascii="Calibri" w:eastAsia="Calibri" w:hAnsi="Calibri" w:cs="Calibri"/>
      <w:color w:val="000000"/>
      <w:kern w:val="0"/>
      <w:sz w:val="22"/>
      <w:szCs w:val="22"/>
      <w:lang w:eastAsia="sk-SK"/>
      <w14:ligatures w14:val="none"/>
    </w:rPr>
  </w:style>
  <w:style w:type="paragraph" w:customStyle="1" w:styleId="tl1">
    <w:name w:val="Štýl1"/>
    <w:basedOn w:val="Normlny"/>
    <w:qFormat/>
    <w:rsid w:val="00934730"/>
    <w:pPr>
      <w:keepNext/>
      <w:tabs>
        <w:tab w:val="left" w:pos="142"/>
        <w:tab w:val="left" w:pos="567"/>
      </w:tabs>
      <w:spacing w:after="0" w:line="240" w:lineRule="auto"/>
      <w:ind w:left="567" w:hanging="567"/>
    </w:pPr>
    <w:rPr>
      <w:rFonts w:ascii="Times New Roman" w:eastAsia="Times New Roman" w:hAnsi="Times New Roman" w:cs="Times New Roman"/>
      <w:b/>
      <w:kern w:val="0"/>
      <w:sz w:val="22"/>
      <w:szCs w:val="22"/>
      <w14:ligatures w14:val="none"/>
    </w:rPr>
  </w:style>
  <w:style w:type="paragraph" w:styleId="Revzia">
    <w:name w:val="Revision"/>
    <w:hidden/>
    <w:uiPriority w:val="99"/>
    <w:semiHidden/>
    <w:rsid w:val="00934730"/>
    <w:pPr>
      <w:spacing w:after="0" w:line="240" w:lineRule="auto"/>
    </w:pPr>
  </w:style>
  <w:style w:type="character" w:styleId="Odkaznakomentr">
    <w:name w:val="annotation reference"/>
    <w:basedOn w:val="Predvolenpsmoodseku"/>
    <w:uiPriority w:val="99"/>
    <w:semiHidden/>
    <w:unhideWhenUsed/>
    <w:rsid w:val="0093473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3473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93473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3473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34730"/>
    <w:rPr>
      <w:b/>
      <w:bCs/>
      <w:sz w:val="20"/>
      <w:szCs w:val="20"/>
    </w:rPr>
  </w:style>
  <w:style w:type="character" w:styleId="Nevyrieenzmienka">
    <w:name w:val="Unresolved Mention"/>
    <w:basedOn w:val="Predvolenpsmoodseku"/>
    <w:uiPriority w:val="99"/>
    <w:semiHidden/>
    <w:unhideWhenUsed/>
    <w:rsid w:val="009347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ukl.sk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ema.europa.eu/docs/en_GB/document_library/Template_or_form/2013/03/WC500139752.doc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10</Pages>
  <Words>3105</Words>
  <Characters>17701</Characters>
  <Application>Microsoft Office Word</Application>
  <DocSecurity>0</DocSecurity>
  <Lines>147</Lines>
  <Paragraphs>41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SPC_Fluorodopa (18F) Biont_09_2025</dc:title>
  <dc:subject/>
  <dc:creator>Peter Marosz</dc:creator>
  <cp:keywords/>
  <dc:description/>
  <cp:lastModifiedBy>SUKL review</cp:lastModifiedBy>
  <cp:revision>6</cp:revision>
  <cp:lastPrinted>2025-08-22T12:49:00Z</cp:lastPrinted>
  <dcterms:created xsi:type="dcterms:W3CDTF">2025-08-20T09:25:00Z</dcterms:created>
  <dcterms:modified xsi:type="dcterms:W3CDTF">2025-09-11T14:25:00Z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2025-08-19T12:34:59Z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c8a98646-fbf9-4abb-9e27-c9d7d9584285</vt:lpwstr>
  </property>
  <property fmtid="{D5CDD505-2E9C-101B-9397-08002B2CF9AE}" pid="7" name="MSIP_Label_defa4170-0d19-0005-0004-bc88714345d2_ActionId">
    <vt:lpwstr>84d89fea-b726-4a83-ae2b-11fcd2235a73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